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ATAS/1293/2020 vom 22. Dezember 2020</w:t>
      </w:r>
    </w:p>
    <w:p>
      <w:r>
        <w:t>GE Cour de justice, 2020-12-22, FR</w:t>
      </w:r>
    </w:p>
    <w:p>
      <w:r>
        <w:rPr>
          <w:b/>
        </w:rPr>
        <w:t xml:space="preserve">Quelle: </w:t>
      </w:r>
      <w:r>
        <w:t>https://mcp.opencaselaw.ch/entscheid/ge_gerichte_ATAS_1293_2020</w:t>
      </w:r>
    </w:p>
    <w:p>
      <w:r>
        <w:t>FR: GE_GERICHTE ATAS/1293/2020 du 22 décembre 2020</w:t>
      </w:r>
    </w:p>
    <w:p>
      <w:r>
        <w:t>IT: GE_GERICHTE ATAS/1293/2020 del 22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loi sur la procédure administrative du 12 septembre 1985 [LPA - E 5 10]). Interjeté dans la</w:t>
      </w:r>
    </w:p>
    <w:p>
      <w:r>
        <w:t>A/4353/2019 - 9/18 - forme et le délai prévus par la loi, le recours est recevable (art. 56 ss LPGA et 62 ss LPA).</w:t>
      </w:r>
    </w:p>
    <w:p>
      <w:r>
        <w:rPr>
          <w:b/>
        </w:rPr>
        <w:t>E. 5</w:t>
      </w:r>
    </w:p>
    <w:p>
      <w:r>
        <w:t>Le litige porte sur la question de savoir si c’est à juste titre que l’intimée a refusé de prendre en charge l’atteinte méniscale subie par le recourant, singulièrement si les conditions d’un accident, voire d’une lésion assimilée, sont réalisées.</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d'exécuter ou tenter d'exécuter un mouvement par réflexe pour éviter une chute ; le facteur extérieur - modification entre le corps et l'environnement extérieur - constitue alors en même temps le facteur extraordinaire en raison du déroulement non programmé du mouvement (ATF 130 V 117 ; RAMA 2004 n°U 502 p. 184 consid. 4.1, RAMA 1999 n°U 345 p. 422 consid. 2b). Le Tribunal fédéral a ainsi considéré que par rapport aux mouvements de la vie quotidienne, le basketball, respectivement le football, présentaient à l’évidence un potentiel de danger accru (course, accélérations, mouvements brusques en avant, en arrière et de côté, arrêts brusques). Même pour une personne qui pratiquait régulièrement ces sports, cela ne représentait pas des gestes de la vie courante, comme le fait de se déplacer dans une pièce, se lever, se coucher ou s’asseoir. Une brusque rotation du haut du corps dans une phase de jeu plus ou moins critique, alors que les pieds restaient fixés, constituait une sollicitation du corps plus importante que la normale. Dans de telles situations, la condition du facteur extérieur était remplie par ce mouvement plus ou moins antinomique du point de vue physiologique (arrêt du Tribunal fédéral 8C_180/2007 et 8C_2018/2007 du 12 mars 2008 consid. 4.3, respectivement arrêt du Tribunal fédéral U 71/07 du 15 juin 2007 consid. 6.2). Le Tribunal fédéral a toutefois considéré que la brusque</w:t>
      </w:r>
    </w:p>
    <w:p>
      <w:r>
        <w:t>A/4353/2019 - 10/18 - rotation du corps effectuée lors d’un match de basketball ne constituait pas un mouvement non coordonné, qui survenait quand le déroulement habituel et normal d’un mouvement corporel était interrompu par un empêchement non programmé lié à l’environnement extérieur, tel le fait de glisser, de s’encoubler, de se heurter à un objet ou d’éviter une chute. Le caractère extraordinaire du facteur faisait donc défaut (arrêt du Tribunal fédéral 8C_180/2007 et 8C_2018/2007 du 12 mars 2008 consid. 5).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arrêt du Tribunal fédéral 8C_225/2019 du 20 août 2019 consid. 3.4).</w:t>
      </w:r>
    </w:p>
    <w:p>
      <w:r>
        <w:rPr>
          <w:b/>
        </w:rPr>
        <w:t>E. 7</w:t>
      </w:r>
    </w:p>
    <w:p>
      <w:r>
        <w:t>a. Aux termes de l'art. 6 al. 2 LAA dans sa teneur en vigueur depuis le 1er janvier 2017, l'assurance alloue également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w:t>
      </w:r>
    </w:p>
    <w:p>
      <w:r>
        <w:t>A/4353/2019 - 11/18 -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c/aa. Depuis le 1er janvier 2017, le nouveau droit ne requiert plus l’existence d’un facteur extérieur. L’assurance-accidents est en effet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 de tous les facteurs en cause, à l’usure ou à une maladie (ATF 146 V 51 consid. 8.2.2). c/bb. Dans l’ATF 146 V 51,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(consid. 5.1, 8.5 et 9.1) ; - Dans la négative, l’assureur doit examiner une prise en charge sous l’angle de l’art. 6 al. 2 LAA. D’emblée, il y a présomption de la responsabilité de l’assureur-accidents pour les suites d’une de ces lésions à moins qu’il ne démontre que celle-ci soit due de manière prépondérante, donc à plus de 50 % (consid. 8.2.2.1 et 8.6), à l’usure ou à une maladie (consid. 8.2.2.2 concernant les notions d’usure et de maladie; consid. 9.1 pour le surplus). Dans le cas de l’art. 6 al. 2 LAA, l’obligation de prester de l’assurance-accidents prend fin lorsque la lésion corporelle résulte à plus de 50 % de l’usure ou d’une maladie (voir Jenny CASTELLA, op. cit., p. 35).</w:t>
      </w:r>
    </w:p>
    <w:p>
      <w:r>
        <w:t>A/4353/2019 - 12/18 - d. Contrairement à ce qui prévalait jusqu’au 31 décembre 2016, en présence d’une lésion figurant dans la liste de l’art. 6 al. 2 LAA, l’assuré ne peut plus se contenter de « s’engouffrer » vers ce rattachement, en pensant qu’il s’agit d’une voie de facilité (cf. Pierre GABUS et Lucile BONAZ, op. cit, p. 383). Même en présence d’une lésion apparaissant sur la liste de la disposition précitée, il convient d’examiner si l’atteinte peut être rattachée à la notion ordinaire d’accident. Dans l’affirmative, l’assuré bénéficie de l’application de l’art. 36 al. 1 LAA. En d’autres termes, l’assureur ne peut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A/4353/2019 - 13/18 -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c/bb.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w:t>
      </w:r>
    </w:p>
    <w:p>
      <w:r>
        <w:t>A/4353/2019 - 14/18 -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a. En l’espèce, il ressort du dossier et de la présente procédure que le 19 mars 2019, alors qu’il jouait au badminton, le recourant a ressenti un claquage puis une douleur au genou gauche, laquelle était apparue lors d’un déplacement sur la droite, avec appui soutenu sur la jambe gauche et légère torsion du genou (cf. déclaration d’accident-bagatelle LAA du 29 mars 2019 et réponses au questionnaire de l’assurance données par le recourant le 25 avril 2019). Après environ trois semaines de repos, la douleur avait disparu, de sorte que le recourant a pu participer à un tournoi de badminton le week-end du 27 et 28 avril 2019. Au cours du huitième match, le recourant a, à nouveau, ressenti des douleurs au genou gauche. Il a ensuite</w:t>
      </w:r>
    </w:p>
    <w:p>
      <w:r>
        <w:t>A/4353/2019 - 15/18 - consulté le Dr B______ (réplique du 10 janvier 2020), lequel a ordonné l’IRM du genou gauche qui a montré diverses atteintes aux ménisques (cf. IRM du genou gauche du 24 mai 2019). L’atteinte au ménisque interne, en tant qu’il s’agit d’une rupture, ou en d’autres termes, d’une déchirure, est constitutive d’une lésion corporelle assimilée au sens de l’art. 6 al. 2 let. c LAA, ce qui n’est pas contesté. Si ladite lésion est apparue consécutivement à un accident au sens de l’art. 6 al. 1 LAA, l’intimée doit prendre en charge les suites jusqu’à ce que l’accident en question ne représente plus la cause naturelle et adéquate de l’atteinte, soit, en d’autres termes, jusqu’à ce que le staut quo ante vel sine soit atteint. En revanche, si la lésion n’est pas consécutive à un accident au sens de l’art. 6 al. 1 LAA, la prise en charge s’examine conformément à l’art. 6 al. 2 LAA et dans un tel cas, l’assurance doit prendre en charge les suites de cette lésion à moins qu’il ne démontre qu’elle soit due à plus de 50 % à l’usure ou à une maladie. La première question à résoudre est dès lors celle de l’existence d’un accident. b. Comme indiqué précédemment, il ressort du dossier et de la présente procédure que le recourant a participé à deux matchs de badminton, au cours desquels des douleurs sont apparues au niveau du genou gauche. Le dossier comporte une description plus précise du déroulement du match du 19 mars 2019 que de celui du 28 avril 2019. Cela étant, quel que soit le déroulement, la condition du facteur extérieur est remplie. En effet, une brusque rotation du haut du corps dans une phase de jeu plus ou moins critique, alors que les pieds restent fixes, est dans l’ordre des choses dans un match de badminton. Or, une telle rotation constitue une sollicitation du corps plus importante que la normale (cf. dans ce sens arrêt du Tribunal fédéral 8C_180/2007 et 8C-2018/2007 du</w:t>
      </w:r>
    </w:p>
    <w:p>
      <w:r>
        <w:rPr>
          <w:b/>
        </w:rPr>
        <w:t>E. 12</w:t>
      </w:r>
    </w:p>
    <w:p>
      <w:r>
        <w:t>mars 2008 consid. 5). Partant, quel que soit l’événement retenu, en l’absence d’un facteur extérieur extraordinaire, les lésions au ménisque ne sont pas consécutives à un accident au sens de l’art. 6 al. 1 LAA. c. La prise en charge par l’intimée s’examine par conséquent conformément à l’art. 6 al. 2 LAA. Selon cette disposition, le droit du recourant aux prestations de l’intimée est présumé dès qu’une lésion corporelle comprise dans la liste est diagnostiquée. L’assurance peut toutefois se libérer de son obligation de prester en apportant la preuve que la lésion en question est due à plus de 50 % à l’usure ou à</w:t>
      </w:r>
    </w:p>
    <w:p>
      <w:r>
        <w:t>A/4353/2019 - 16/18 - la maladie en se fondant sur des rapports médicaux probants (cf. consid. 7c/aa supra). En l’occurrence, l’IRM du 24 mai 2019 a notamment montré une rupture radiaire subtotale de la racine postérieure du ménisque latéral et une fissure horizontale de la corne postérieure du ménisque médial. Le diagnostic de déchirure du ménisque interne a ainsi été posé (cf. rapport du Dr B______ du 6 juin 2019). Il s’agit là d’une lésion corporelle mentionnée à l’art. 6 al. 2 let. c LAA, ce qui n’est pas contesté (cf. décision sur opposition 29 octobre 2019 ch. 10 p. 11), pour laquelle l’intimée doit intervenir à moins qu’elle ne prouve, au degré de la vraisemblance prépondérante, que ladite atteinte est due à plus de 50 % à l’usure ou à la maladie. Il est établi que le genou du recourant comporte également d’autres atteintes, de nature dégénérative, notamment une chondropathie, ce qui laisse présumer que dans l’ensemble, son genou était déjà atteint avant les événements de mars et avril 2019. La question qui se pose est ainsi celle de savoir si, en concours avec l’état dégénératif antérieur du genou, les mouvements du recourant, lors des matchs de mars et avril, ont pu contribuer à causer les lésions méniscales en question et, dans l’affirmative, si leur influence est de plus ou de moins de 50 %. Si leur influence est de moins de 50 %, cela revient à considérer que les atteintes méniscales sont dues à plus de 50 % à l’usure ou à la maladie et dans un tel cas, l’intimée peut refuser de prester. Se fondant sur les rapports de son médecin-conseil, l’intimée prétend que les événements de mars (et avril) 2019 ont contribué à moins de 50 % à la survenance de l’atteinte méniscale, soit en d’autres termes que lesdites atteintes sont essentiellement d’origine dégénérative. Pour pouvoir être prises en considération, les appréciations du Dr C______ des</w:t>
      </w:r>
    </w:p>
    <w:p>
      <w:r>
        <w:rPr>
          <w:b/>
        </w:rPr>
        <w:t>E. 14</w:t>
      </w:r>
    </w:p>
    <w:p>
      <w:r>
        <w:t>juin, 22 juillet et 9 septembre 2019 doivent remplir les exigences formelles et matérielles auxquelles sont soumises les preuves médicales (cf. dans ce sens arrêt du Tribunal fédéral 8C_401/2019 du 9 juin 2020 consid. 5.3.2). Concrètement, elles doivent comporter une étude fouillée des points litigieux importants et une anamnèse, se fonder sur des examens complets, prendre en considération les plaintes exprimées par le recourant. De plus, la description des interférences médicales doit être claire et les conclusions de l'expert doivent être bien motivées (ATF 134 V 231 consid. 5.1; ATF 133 V 450 consid. 11.1.3; ATF 125 V 351 consid. 3). Or, force est de constater que les appréciations des 14 juin, 22 juillet et 9 septembre 2019 ne remplissent pas les réquisits jurisprudentiels susmentionnés dès lors qu’elles ne comprennent pas d’anamnèse, de description des plaintes ou encore de motivation. Certes, les appréciations des 22 juillet et 9 septembre 2019 sont plus détaillées. Elles comportent toutefois des considérations d’ordre général et n’examinent pas le cas particulier du recourant. En effet, pour établir que les lésions mises en évidence ont une origine dégénérative, il n’est pas suffisant, comme s’est</w:t>
      </w:r>
    </w:p>
    <w:p>
      <w:r>
        <w:t>A/4353/2019 - 17/18 - contenté de le faire le Dr C______, de se référer de manière générale au type de traitement prescrit ou encore d’expliquer théoriquement le processus dégénératif chez un patient de plus de 40 ans, sans examiner le cas particulier. Dans une telle situation, où l’assureur refuse d’intervenir, on est en droit d’attendre du médecin qui entend nier l’origine traumatique des lésions et, partant, retenir une origine dégénérative, qu’il étaye son point de vue et fournisse à tout le moins des explications circonstanciées sur le processus – non traumatique – qu’il estime être à l’origine de l’ensemble des lésions constatées et sur les raisons précises pour lesquelles le mécanisme traumatique n’a pas pu objectivement causer l’ensemble desdites lésions, ou du moins l’aggraver. Or, le Dr C______ s’est épargné un tel examen alors qu’il a lui-même évoqué une lésion d’origine traumatique dans son appréciation du 9 septembre 2019. Dans de telles circonstances, rien ne permet en l’état de penser que les lésions subies par le recourant à son genou gauche auraient principalement pour origine un état maladif ou dégénératif préexistant, ce d’autant moins que le médecin-conseil a lui-même évoqué des lésions traumatiques. Dès lors que le fardeau de la preuve appartient à l’assurance et que celle-ci n’a pas été en mesure de fournir des appréciations probantes à l’appui de son refus de prester, la décision sur opposition doit être annulée, sans qu’une instruction complémentaire ne soit nécessaire (cf. dans le même sens arrêt du Tribunal fédéral 8C_401/2019 du 9 juin 2020 consid. 5.3.3). 11. Au vu de ce qui précède, le recours sera admis et la décision sur opposition du 29 octobre 2019 sera annulée. Quand bien même le recourant obtient gain de cause, il n’est pas représenté,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A/4353/2019 - 18/18 -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