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ATAS/1293/2009 vom 17. Juni 2009</w:t>
      </w:r>
    </w:p>
    <w:p>
      <w:r>
        <w:t>GE Cour de justice, 2009-06-17, FR</w:t>
      </w:r>
    </w:p>
    <w:p>
      <w:r>
        <w:rPr>
          <w:b/>
        </w:rPr>
        <w:t xml:space="preserve">Quelle: </w:t>
      </w:r>
      <w:r>
        <w:t>https://mcp.opencaselaw.ch/entscheid/ge_gerichte_ATAS_1293_2009</w:t>
      </w:r>
    </w:p>
    <w:p>
      <w:r>
        <w:t>FR: GE_GERICHTE ATAS/1293/2009 du 17 juin 2009</w:t>
      </w:r>
    </w:p>
    <w:p>
      <w:r>
        <w:t>IT: GE_GERICHTE ATAS/1293/2009 del 17 giugno 2009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PA) ; Que selon la jurisprudence, les cantons peuvent imposer leur langue officielle comme langue judiciaire et exiger la traduction des actes de procédures rédigés dans une autre langue (cf. ATF 128 V 38 consid. 2b/bb; ATFA non publié du 2 septembre 2003, C 166/2003); Qu'un recours qui n'est pas rédigé dans la langue du canton peut donc être déclaré irrecevable, pour autant que la possibilité ait été donnée à l'intéressée de produire un</w:t>
      </w:r>
    </w:p>
    <w:p>
      <w:r>
        <w:t>A/3491/2009 - 4/5 - acte rédigé dans la langue dudit canton (cf. ATF 102 I a 37 ; arrêts du Tribunal fédéral publiés in RDAT 2002 I 41 296 et 1993 II 78 215 et pour Genève in SJ 1998 311 ; ATFA non publié du 2 septembre 2003, C166/2003); Qu’en l’espèce, les décisions notifiées au recourant étaient rédigées en langue française, langue du canton de Genève ; Que l’intimée a attiré l’attention du recourant sur la nécessité de former opposition en français et lui a imparti un délai pour traduire son courrier, en l’avertissant qu’à défaut, son opposition sera déclarée irrecevable ; Que ce dernier n’ayant pas obtempéré, c’est à juste titre que l’intimée a déclaré l’opposition formée à l’encontre de ses deux décisions irrecevable ;</w:t>
      </w:r>
    </w:p>
    <w:p>
      <w:r>
        <w:t>A/3491/2009 - 5/5 -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