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ATAS/1290/2009 vom 21. Oktober 2009</w:t>
      </w:r>
    </w:p>
    <w:p>
      <w:r>
        <w:t>GE Cour de justice, 2009-10-21, FR</w:t>
      </w:r>
    </w:p>
    <w:p>
      <w:r>
        <w:rPr>
          <w:b/>
        </w:rPr>
        <w:t xml:space="preserve">Quelle: </w:t>
      </w:r>
      <w:r>
        <w:t>https://mcp.opencaselaw.ch/entscheid/ge_gerichte_ATAS_1290_2009</w:t>
      </w:r>
    </w:p>
    <w:p>
      <w:r>
        <w:t>FR: GE_GERICHTE ATAS/1290/2009 du 21 octobre 2009</w:t>
      </w:r>
    </w:p>
    <w:p>
      <w:r>
        <w:t>IT: GE_GERICHTE ATAS/1290/2009 del 21 ottobre 2009</w:t>
      </w:r>
    </w:p>
    <w:p>
      <w:pPr>
        <w:pStyle w:val="Heading2"/>
      </w:pPr>
      <w:r>
        <w:t>Erwägungen</w:t>
      </w:r>
    </w:p>
    <w:p>
      <w:r>
        <w:rPr>
          <w:b/>
        </w:rPr>
        <w:t>E. 1</w:t>
      </w:r>
    </w:p>
    <w:p>
      <w:r>
        <w:t>Le Tribunal de céans a déjà examiné les questions de sa compétence et de la recevabilité du recours dans son ordonnance du 6 juin 2007, de sorte qu’il n’y a pas lieu d’y revenir ici.</w:t>
      </w:r>
    </w:p>
    <w:p>
      <w:r>
        <w:rPr>
          <w:b/>
        </w:rPr>
        <w:t>E. 2</w:t>
      </w:r>
    </w:p>
    <w:p>
      <w:r>
        <w:t>Le litige porte sur le degré d’invalidité que présente la recourante en raison des atteintes à la santé dont elle souffre.</w:t>
      </w:r>
    </w:p>
    <w:p>
      <w:r>
        <w:rPr>
          <w:b/>
        </w:rPr>
        <w:t>E. 3</w:t>
      </w:r>
    </w:p>
    <w:p>
      <w:r>
        <w:t>Les dispositions légales et principes jurisprudentiels applicables ont été exposés dans l’ordonnance du 6 juin 2007. Il sied d’ajouter que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Par ailleurs,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w:t>
      </w:r>
    </w:p>
    <w:p>
      <w:r>
        <w:rPr>
          <w:b/>
        </w:rPr>
        <w:t>E. 4</w:t>
      </w:r>
    </w:p>
    <w:p>
      <w:r>
        <w:t>En l’occurrence, le Dr N________ a été mandaté par le Tribunal de céans afin notamment de déterminer les répercussions qu’entraînent les atteintes à la santé dont souffre la recourante sur sa capacité de travail et de trancher les divergences d’opinion quant à la question de savoir si l’activité habituelle de secrétaire correspond à une activité adaptée.</w:t>
      </w:r>
    </w:p>
    <w:p>
      <w:r>
        <w:t>A/1141/2006 - 17/19 - A la lecture du rapport d’expertise du 26 novembre 2007, complété le 28 janvier 2008, le Tribunal de céans constate que les appréciations très succinctes du Dr N________ quant à la capacité de travail de la recourante manquent de clarté, ne sont pas motivées et apparaissent contradictoires. Ainsi, alors que l’expert est d’avis que les cervico-brachialgies droites justifient, à elles seules, une incapacité de travail totale (rapport du 26 novembre 2007, p. 6 et rapport du 28 janvier 2008, p. 1), il indique néanmoins que le traitement de la pathologie des épaules permettrait une reprise de l’activité de secrétaire, étant précisé que la recourante devrait alors éviter le port de dossiers (rapport du 28 janvier 2008, p. 2). Rien ne permet de comprendre pour quels motifs l’expert ne prend alors plus en compte les cervico-brachialgies. Il y a lieu également de noter que l’expert n’indique pas les limitations fonctionnelles qu’impliquent les diagnostics posés. Il n’explique pas non plus les raisons pour lesquelles la recourante ne peut exercer une activité adaptée, se contentant de dire que l’inexigibilité est due « aux pathologies constatées » (rapport du 28 janvier 2008, p. 2). Les réponses apportées par l’expert lors de son audition par-devant le Tribunal de céans sont, de surcroît, en contradiction avec la teneur de ses rapports. Ainsi, le Dr N________ explique notamment avoir conclu à une incapacité de travail totale dans l’activité de secrétaire au motif que la recourante présentait, au moment de l’expertise, une pathologie aux deux épaules venant s’ajouter à la problématique initiale des cervico-brachialgies (procès-verbal d’enquêtes du 16 octobre 2008). Or, comme cela a été déjà relevé, l’expert a pourtant confirmé que le trouble relatif aux cervico-brachialgies justifie, à lui seul, une incapacité de travail totale dans l’activité habituelle (rapport du 26 novembre 2007, p. 6 et rapport du 28 janvier 2008, p. 1). Eu égard aux considérations qui précèdent et en l’absence d’une appréciation claire de la situation médicale et de conclusions dûment motivées, le rapport d’expertise du Dr N________ n’emporte pas la conviction, de sorte qu’il ne peut se voir accorder valeur probante. Dans la mesure où le Tribunal de céans ne peut statuer sur la base des constatations et conclusions succinctes du Prof. M________, ce dernier ayant été le médecin traitant de la recourante, force est de constater que le dossier n’est donc pas en état d’être jugé. Aussi, le Tribunal de céans a-t-il décidé de soumettre la recourante à une nouvelle expertise judiciaire rhumatologique, qui sera confiée au Dr T________.</w:t>
      </w:r>
    </w:p>
    <w:p>
      <w:r>
        <w:t>A/1141/2006 - 18/19 -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