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ATAS/128/2016 vom 17. Februar 2016</w:t>
      </w:r>
    </w:p>
    <w:p>
      <w:r>
        <w:t>GE Cour de justice, 2016-02-17, FR</w:t>
      </w:r>
    </w:p>
    <w:p>
      <w:r>
        <w:rPr>
          <w:b/>
        </w:rPr>
        <w:t xml:space="preserve">Quelle: </w:t>
      </w:r>
      <w:r>
        <w:t>https://mcp.opencaselaw.ch/entscheid/ge_gerichte_ATAS_128_2016</w:t>
      </w:r>
    </w:p>
    <w:p>
      <w:r>
        <w:t>FR: GE_GERICHTE ATAS/128/2016 du 17 février 2016</w:t>
      </w:r>
    </w:p>
    <w:p>
      <w:r>
        <w:t>IT: GE_GERICHTE ATAS/128/2016 del 17 febbraio 2016</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Compte tenu de la suspension des délais du 15 juillet au 15 août inclus (art. 38 al. 4 let. b LPGA), le recours interjeté le 8 septembre 2015 contre la décision de l’intimé notifiée le 10 juillet 2015 est recevable (art. 56 et 60 LPGA ; art. 89B de la loi sur la procédure administrative du 12 septembre 1985- LPA-GE - E 5 10).</w:t>
      </w:r>
    </w:p>
    <w:p>
      <w:r>
        <w:rPr>
          <w:b/>
        </w:rPr>
        <w:t>E. 3</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p. 164; 125 V 413 consid. 1b et 2 p. 414 et les références citées; pour la procédure d'opposition: ATF 119 V 347; voir également arrêt U 152/01 du 8 octobre 2003, consid. 3; MEYER-BLASER, Streitgegenstand im Streit - Erläuterungen zu BGE 125 V 413, in SCHAFFHAUSER/SCHLAURI [édit.], Aktuelle Rechtsfragen der Sozialversicherungspraxis, St-Gall 2001, p. 19).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p. 244; 117 V</w:t>
      </w:r>
    </w:p>
    <w:p>
      <w:r>
        <w:t>A/3043/2015 - 5/8 - 294 consid. 2a p. 295; 112 V 97 consid. 1a p. 99; 110 V 48 consid. 3c p. 51 et les références; voir également ATF 122 V 34 consid. 2a p. 36).</w:t>
      </w:r>
    </w:p>
    <w:p>
      <w:r>
        <w:rPr>
          <w:b/>
        </w:rPr>
        <w:t>E. 4</w:t>
      </w:r>
    </w:p>
    <w:p>
      <w:r>
        <w:t>En l’espèce, le litige porte sur le point de savoir si c’est à bon droit que l’intimée a réclamé au recourant le paiement de frais et participations à hauteur de CHF 274.50 et prononcé la mainlevée de l’opposition à la poursuite n° 1______, frais de poursuite en sus.</w:t>
      </w:r>
    </w:p>
    <w:p>
      <w:r>
        <w:rPr>
          <w:b/>
        </w:rPr>
        <w:t>E. 5</w:t>
      </w:r>
    </w:p>
    <w:p>
      <w:r>
        <w:t>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recouvrir ou non les arriérés de primes et participations aux coûts. Au contraire et au regard des principes de mutualité et d'égalité de traitement prévalant dans le domaine de l'assurance- maladie sociale (art. 13 al. 2 let. a LAMal), ils sont tenus de faire valoir leurs prétentions découlant des obligations financières des assurés par la voie de l'exécution forcée selon la LP (cf. art. 64a al. 2 LAMal, en vigueur depuis le 1er janvier 2012, et art. 105b OAMal, en vigueur dès le 1er août 2007).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(voir ATF 131 V 147). L'art. 105b OAMal prévoit que les primes et les participations aux coûts de l'assurance obligatoire des soins échues et impayées doivent faire l'objet, dans les trois mois qui suivent leur exigibilité, d'une sommation écrite qui sera précédée d'au moins un rappel et qui sera distincte de celles portant sur d'autres retards de paiement éventuels. Avec la sommation, l'assureur doit impartir à l'assuré un délai de 30 jours pour remplir son obligation et attirer son attention sur les conséquences qu'il encourt s'il n'effectue pas le paiement (al. 1). Si l'assuré ne s'exécute pas dans le délai imparti, l'assureur doit mettre la créance en poursuite dans les quatre mois qui suivent, de manière distincte des autres retards de paiement éventuels (al. 2). De plus,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(art. 105b al. 3 OAMal ; cf. art. 17 al. 1 des conditions générales de l'assurance obligatoire des soins et de l’assurance facultative d’indemnités journalières au sens de la LAMal de l’intimée ; cf. aussi ATF 125 V 276 consid. 2/bb).</w:t>
      </w:r>
    </w:p>
    <w:p>
      <w:r>
        <w:t>A/3043/2015 - 6/8 - Il convient de relever que l'art. 105b al. 1 et 2 OAMal vise à empêcher que les assureurs ne tardent trop avant d'entreprendre les démarches nécessaires au recouvrement des primes dues (arrêt 9C_786/2008 du 31 octobre 2008 consid. 3 ; Gebhard EUGSTER, Krankenversicherung, in Schweizerisches Bundesverwaltungsrecht [SBVR], Soziale Sicherheit, 2ème éd., 2007, p. 747 n. 1028).</w:t>
      </w:r>
    </w:p>
    <w:p>
      <w:r>
        <w:rPr>
          <w:b/>
        </w:rPr>
        <w:t>E. 6</w:t>
      </w:r>
    </w:p>
    <w:p>
      <w:r>
        <w:t>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à la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(ATF 119 V 329 consid. 2 et les références).</w:t>
      </w:r>
    </w:p>
    <w:p>
      <w:r>
        <w:rPr>
          <w:b/>
        </w:rPr>
        <w:t>E. 7</w:t>
      </w:r>
    </w:p>
    <w:p>
      <w:r>
        <w:t>a) En l’espèce, en date du 4 juillet 2014, l’intimée a adressé au recourant un relevé de prestations et lui a réclamé le paiement d’un montant de CHF 234.50, soit CHF 204.50 à titre de quote-part de 10% (art. 64 al. 2 let. b LAMal) du montant de CHF 2'045.95 relatif à un traitement hospitalier de son épouse auprès des Hôpitaux universitaires de Genève du 28 avril 2014 au 29 avril 2014, ainsi que CHF 30.- à titre de contribution journalière aux frais de séjour hospitalier (art. 64 al. 5 LAMal et 104 al. 1 OAMal en sa teneur en vigueur dès le 1er janvier 2011). Le recourant ne s’étant point exécuté, l’intimée lui adressa un premier rappel le 22 août 2014, majoré de CHF 10.-, puis une mise en demeure, majorée de CHF 30. -, l’invitant à payer le montant de CHF 274.50 dans les 30 jours à défaut de quoi une poursuite sera engagée et, enfin, lui a notifié un commandement de payer le 3 décembre 2014. La chambre de céans constate que l’intimée a respecté la procédure et que les frais supplémentaires sont prévus à l’art. 17 de ses conditions générales (art. 105b al. 3 OAMal). b) Le recourant ne conteste pas le montant de CHF 234.50, mais excipe de la compensation, au motif que l’intimée de son côté ne s’était pas acquittée en temps utile d’un remboursement d’une facture de CHF 876.25 en sa faveur. Il a été ainsi contraint d’engager une poursuite à l’encontre de l’intimée. Selon la doctrine et la jurisprudence, la compensation de créances réciproques constitue un principe juridique général, ancré en droit privé aux art. 120 ss du Code</w:t>
      </w:r>
    </w:p>
    <w:p>
      <w:r>
        <w:t>A/3043/2015 - 7/8 - des obligations du 30 mars 1911 (CO – RS 220), qui trouve application en droit administratif. En droit des assurances sociales plus particulièrement, le principe est reconnu, même dans les branches de ce droit qui ne le prévoient pas expressément (ATF 132 V 127 consid. 6.1.1 ; ATF 128 V 50 consid. 4a et 224 consid. 3b ainsi que les références). De manière générale, la compensation en droit public - et donc notamment en droit des assurances sociales - est subordonnée à la condition que deux personnes soient réciproquement créancières et débitrices l'une de l'autre conformément à la règle posée par l'art. 120 al. 1 CO (ATF 130 V 505 consid. 2.4 ; ATF 128 V 228 consid. 3b ; VSI 1994 p. 217 consid. 3). Il convient de faire une réserve à l’application analogique de l’art. 120 CO en droit public, s’agissant du droit d’invoquer la créance en compensation. L’art. 125 ch. 3 CO interdit, en effet, à un privé d’éteindre par compensation une créance dérivant du droit public en faveur de l’État et des communes, contre leur volonté. Dans le domaine de l’assurance-maladie obligatoire, les assureurs-maladies jouissent d'un privilège identique (ATF 110 V 183 consid. 3 ; Milan KRYKA, Die Verrechnung in Konkurs, Nachlassverfahren und Konkursaufschub, in SSHW - Schweizer Schriften zum Handels- und Wirtschaftsrecht, n. 302, 2011, p. 22). Par conséquent, quand bien même le recourant disposait d’une créance à l’encontre de l’intimée, que cette dernière a certes tardé à s’exécuter – tout en expliquant qu’elle a dû requérir un duplicata au fournisseur de prestations concerné -, il n’était pas en droit de s’abstenir de payer les frais découlant du décompte de prestations du 4 juillet 2014 et d’opposer à l’intimée la compensation. Au demeurant, l’intimée a finalement procédé au remboursement le 23 décembre 2014.</w:t>
      </w:r>
    </w:p>
    <w:p>
      <w:r>
        <w:rPr>
          <w:b/>
        </w:rPr>
        <w:t>E. 8</w:t>
      </w:r>
    </w:p>
    <w:p>
      <w:r>
        <w:t>Au vu de ce qui précède, le recours est mal fondé.</w:t>
      </w:r>
    </w:p>
    <w:p>
      <w:r>
        <w:t>A/3043/2015 - 8/8 -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