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ATAS/1289/2020 vom 22. Dezember 2020</w:t>
      </w:r>
    </w:p>
    <w:p>
      <w:r>
        <w:t>GE Cour de justice, 2020-12-22, FR</w:t>
      </w:r>
    </w:p>
    <w:p>
      <w:r>
        <w:rPr>
          <w:b/>
        </w:rPr>
        <w:t xml:space="preserve">Quelle: </w:t>
      </w:r>
      <w:r>
        <w:t>https://mcp.opencaselaw.ch/entscheid/ge_gerichte_ATAS_1289_2020</w:t>
      </w:r>
    </w:p>
    <w:p>
      <w:r>
        <w:t>FR: GE_GERICHTE ATAS/1289/2020 du 22 décembre 2020</w:t>
      </w:r>
    </w:p>
    <w:p>
      <w:r>
        <w:t>IT: GE_GERICHTE ATAS/1289/2020 del 22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décision sur opposition de l’intimé du 20 février 2020 de révoquer la décision d’octroi d’une AIT.</w:t>
      </w:r>
    </w:p>
    <w:p>
      <w:r>
        <w:rPr>
          <w:b/>
        </w:rPr>
        <w:t>E. 4</w:t>
      </w:r>
    </w:p>
    <w:p>
      <w:r>
        <w:t>a. Selon l’art. 59 al. 1 et 1bis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L’art. 65 let. b et c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w:t>
      </w:r>
    </w:p>
    <w:p>
      <w:r>
        <w:t>A/295/2020 - 4/6 - escompter un engagement aux conditions usuelles dans la branche et la région, compte tenu, le cas échéant, d'une capacité de travail durablement restreinte (let. c). L’art. 66 al. 1 et 2bis LACI prévoit que les AIT couvrent la différence entre le salaire effectif et le salaire normal que l'assuré peut prétendre au terme de sa mise au courant, compte tenu de sa capacité de travail, mais tout au plus 60 % du salaire normal (al. 1). Les assurés âgés de 50 ans ou plus ont droit aux allocations d'initiation au travail pendant douze mois (al. 2bis). Aux termes de l’art. 90 al. 3 OACI, l'autorité cantonale vérifie auprès de l'employeur si les conditions dont dépend l'octroi d'AIT sont remplies. Elle peut exiger que les conditions selon l'art. 65 let. b et c LACI fassent l'objet d'un contrat écrit. b.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c. Selon le Bulletin LACI/MMT J 27, janvier 2019, du SECO, l’employeur s’engage à remplir un certain nombre d’obligations. Afin que l'employeur soit parfaitement informé, il est ainsi recommandé d'introduire une clause dans la Demande et confirmation relative à l'initiation au travail qui protège les assurés contre les licenciements pendant les AIT et/ou durant une période après l'échéance des AIT. Cela signifie que le contrat de travail ne peut être résilié durant les périodes précitées. L'employeur peut ainsi être tenu de restituer les allocations</w:t>
      </w:r>
    </w:p>
    <w:p>
      <w:r>
        <w:t>A/295/2020 - 5/6 - perçues si les rapports de travail sont résiliés sans justes motifs (art. 337 al. 2 CO) avant l'échéance du délai indiqué par l'autorité compétente ; cette restitution s'opère conformément à l'art. 95 al. 1 LACI. S'il apparaît après le début de l'initiation que celle-ci ne pourra raisonnablement être menée à bien, le rapport de travail doit être cependant résilié. L'autorité compétente doit être avisée au préalable du possible échec de l'initiation afin de tenter de rétablir l'entente entre le travailleur et l'employeur.</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la décision d’octroi de l’AIT du 22 février 2019 indique que les allocations versées pourront être demandées en remboursement si le contrat est résilié en dehors du temps d’essai et sans justes motifs, pendant la période d’initiation de 12 mois ou dans les 3 mois qui suivent. La recourante a licencié l’employée en date du 27 août 2019, pour le 30 septembre 2019, soit pendant la période d’initiation de 12 mois. La recourante n’invoque pas l’existence de justes motifs, mais des motifs économiques qui l’ont amené à fermer le bar dans lequel travaillait l’employée. Bien que l’on puisse comprendre les difficultés financières que traverse la recourante, il n’en demeure pas moins qu’en l’absence de justes motifs de résiliation du contrat de travail au sens de l’art. 337 CO, les dispositions légales prévoient le remboursement des AIT versées pendant la période de travail. C'est ainsi à juste titre que l'OCE a révoqué la décision d'AIT et en a réclamé la restitution.</w:t>
      </w:r>
    </w:p>
    <w:p>
      <w:r>
        <w:rPr>
          <w:b/>
        </w:rPr>
        <w:t>E. 7</w:t>
      </w:r>
    </w:p>
    <w:p>
      <w:r>
        <w:t>Mal fondé, le recours ne peut qu'être rejeté.</w:t>
      </w:r>
    </w:p>
    <w:p>
      <w:r>
        <w:rPr>
          <w:b/>
        </w:rPr>
        <w:t>E. 8</w:t>
      </w:r>
    </w:p>
    <w:p>
      <w:r>
        <w:t>Il est rappelé que la recourante a la possibilité de présenter à l’autorité une demande de remise de l’obligation de restituer.</w:t>
      </w:r>
    </w:p>
    <w:p>
      <w:r>
        <w:rPr>
          <w:b/>
        </w:rPr>
        <w:t>E. 9</w:t>
      </w:r>
    </w:p>
    <w:p>
      <w:r>
        <w:t>Pour le surplus, la procédure est gratuite.</w:t>
      </w:r>
    </w:p>
    <w:p>
      <w:r>
        <w:t>A/295/2020 - 6/6 -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