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ATAS/1289/2012 vom 25. Oktober 2012</w:t>
      </w:r>
    </w:p>
    <w:p>
      <w:r>
        <w:t>GE Cour de justice, 2012-10-25, FR</w:t>
      </w:r>
    </w:p>
    <w:p>
      <w:r>
        <w:rPr>
          <w:b/>
        </w:rPr>
        <w:t xml:space="preserve">Quelle: </w:t>
      </w:r>
      <w:r>
        <w:t>https://mcp.opencaselaw.ch/entscheid/ge_gerichte_ATAS_1289_2012</w:t>
      </w:r>
    </w:p>
    <w:p>
      <w:r>
        <w:t>FR: GE_GERICHTE ATAS/1289/2012 du 25 octobre 2012</w:t>
      </w:r>
    </w:p>
    <w:p>
      <w:r>
        <w:t>IT: GE_GERICHTE ATAS/1289/2012 del 25 ottobre 2012</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par les demandeurs. Les dates pertinentes sont, d’une part, le 16 juillet 2004, date du mariage, d’autre part le 31 mars 2012, date fixée par le juge civil dont le jugement lie la Cour de céans, bien qu’il déroge à la règle qui voudrait que le partage ne prenne fin qu’à l’entrée en force du divorce.</w:t>
      </w:r>
    </w:p>
    <w:p>
      <w:r>
        <w:rPr>
          <w:b/>
        </w:rPr>
        <w:t>E. 4</w:t>
      </w:r>
    </w:p>
    <w:p>
      <w:r>
        <w:t>Selon les documents produits, la prestation acquise pendant le mariage par la demanderesse atteint la somme de 3'082 fr. 85, les intérêts ayant déjà été calculés par l’institution de prévoyance. Ainsi, elle doit à son ex-époux le montant de 1'541 fr. 45 (3'082.85 : 2). Ce montant pourra être versé en espèces au demandeur, ce dernier étant déjà à la retraite.</w:t>
      </w:r>
    </w:p>
    <w:p>
      <w:r>
        <w:t>A/2565/2012 4/5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w:t>
      </w:r>
    </w:p>
    <w:p>
      <w:r>
        <w:t>A/2565/2012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