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ATAS/1288/2013 vom 23. Dezember 2013</w:t>
      </w:r>
    </w:p>
    <w:p>
      <w:r>
        <w:t>GE Cour de justice, 2013-12-23, FR</w:t>
      </w:r>
    </w:p>
    <w:p>
      <w:r>
        <w:rPr>
          <w:b/>
        </w:rPr>
        <w:t xml:space="preserve">Quelle: </w:t>
      </w:r>
      <w:r>
        <w:t>https://mcp.opencaselaw.ch/entscheid/ge_gerichte_ATAS_1288_2013</w:t>
      </w:r>
    </w:p>
    <w:p>
      <w:r>
        <w:t>FR: GE_GERICHTE ATAS/1288/2013 du 23 décembre 2013</w:t>
      </w:r>
    </w:p>
    <w:p>
      <w:r>
        <w:t>IT: GE_GERICHTE ATAS/1288/2013 del 23 dicembre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auprès du tribunal des assurances du canton de domicile de l’assuré (art. 58 al. 1 LPGA). b) S’agissant des prestations complémentaire cantonales, l’art 43 de la loi du 25 octobre 1968 sur les prestations cantonales complémentaires à l’assurance- vieillesse et survivants et à l’assurance-invalidité (LPCC) ouvre les mêmes voies de droit. c) En l’espèce, le recours, interjeté dans les forme et délai prescrits, doit être déclaré recevable.</w:t>
      </w:r>
    </w:p>
    <w:p>
      <w:r>
        <w:rPr>
          <w:b/>
        </w:rPr>
        <w:t>E. 3</w:t>
      </w:r>
    </w:p>
    <w:p>
      <w:r>
        <w:t>Le litige porte sur la question de savoir si la recourante peut se voir accorder la remise de l'obligation de restituer les prestations complémentaires fédérales et cantonales perçues indûment pour la période de septembre 2009 à septembre 2011</w:t>
      </w:r>
    </w:p>
    <w:p>
      <w:r>
        <w:rPr>
          <w:b/>
        </w:rPr>
        <w:t>E. 4</w:t>
      </w:r>
    </w:p>
    <w:p>
      <w:r>
        <w:t>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l'al. 4 sont supérieures aux revenus déterminants selon la LPC. Sont prises en considération les dépenses supplémentaires suivantes : 8'000 fr. pour les personnes seules (let. a); 12'000 fr. pour les couples (let. b); 4'000 fr. pour les</w:t>
      </w:r>
    </w:p>
    <w:p>
      <w:r>
        <w:t>A/1418/2013 - 5/7 - enfants ayant droit à une rente d’orphelin ou donnant droit à une rente pour enfant de l’AVS ou de l’AI (let. c). Est déterminant, pour apprécier s’il y a une situation difficile, le moment où la décision de restitution est exécutoire (art. 4 al. 2 OPGA). S’agissant des prestations complémentaires cantonales, la législation prévoit également la restitution des prestations indûment touchées, étant précisé qu’elle ne peut être exigée lorsque l'intéressé était de bonne foi et qu'elle le mettrait dans une situation difficile (art. 24 al. 1 LPCC et 15 al. 1 OPCC). Selon l’art. 16 OPCC, est déterminant, pour apprécier s'il y a une situation difficile, le moment où la décision de restitution est exécutoire (al. 1). Il y a situation difficile lorsque les conditions de l'article 5 OPGA, appliqué par analogie, sont réalisées (al. 2). Il ressort de ces dispositions que la remise de l’obligation de restituer ainsi soumise à deux conditions cumulatives : la bonne foi et la situation financière difficile.</w:t>
      </w:r>
    </w:p>
    <w:p>
      <w:r>
        <w:rPr>
          <w:b/>
        </w:rPr>
        <w:t>E. 5</w:t>
      </w:r>
    </w:p>
    <w:p>
      <w:r>
        <w:t>La jurisprudence précise que s’il arrive qu'un assuré reçoive, pour une période pendant laquelle il a déjà perçu des prestations complémentaires, des éléments de fortune versés rétroactivement (par exemple un paiement rétroactif de rentes), il faut considérer la situation, non pas tant en relation avec la bonne foi de l'assuré, mais bien plutôt en relation avec la situation économique de celui-ci, et en tenir compte lors de l'examen de la condition de la situation difficile. Au cas où le capital obtenu grâce au paiement de la rente arriérée était encore disponible au moment où la restitution devait avoir lieu, la situation difficile doit être niée (ATF 122 V 221). Dans un arrêt 93/05 du 20 janvier 2007 (SVR 2007 ALV n° 17 p. 56), le Tribunal fédéral a confirmé cette jurisprudence et apporté certaines précisions. Le moment déterminant pour juger si un assuré remplit la condition de la situation difficile est celui de l'entrée en force de la décision de restitution, conformément à l’art. 4 al. 2 OPGA (consid. 5.2). En cas de diminution de patrimoine avant l'entrée en force de la décision de restitution, il convient d’en examiner les raisons. S'il s'avère que l'assuré s'est dessaisi de tout ou partie du capital sans obligation juridique ou sans contre-prestations correspondantes, le patrimoine dont il s'est dessaisi doit être traité comme s'il en avait encore la maîtrise effective, en appliquant par analogie les règles sur le dessaisissement de fortune établies par les art. 3c al. 1 let. g LPG et 17a OPC-AVS/AI. L'assuré est également tenu à restitution s'il ne remplit pas les conditions de la situation difficile telle que définie à l'art. 5 OPGA, étant entendu qu'il n'y a pas lieu, dans ce cas, de tenir compte du capital versé dans le calcul de la fortune fictive (consid. 5.3.4).</w:t>
      </w:r>
    </w:p>
    <w:p>
      <w:r>
        <w:rPr>
          <w:b/>
        </w:rPr>
        <w:t>E. 6</w:t>
      </w:r>
    </w:p>
    <w:p>
      <w:r>
        <w:t>En l’espèce, l’intimé admet que la première des conditions cumulatives posée pour l’octroi d’une demande de remise est remplie. Reste à examiner celle relative à la situation financière difficile. En l’espèce, la condition de la situation financière difficile doit donc être examinée au moment de l’entrée en vigueur de la décision de restitution du 23 avril 2012, soit fin mai 2012.</w:t>
      </w:r>
    </w:p>
    <w:p>
      <w:r>
        <w:t>A/1418/2013 - 6/7 - La recourante ayant reçu, pour une période pendant laquelle elle avait déjà bénéficié des prestations complémentaires, un rétroactif de rente de l’assurance- invalidité, il faut considérer la situation à la lumière de la jurisprudence rappelée supra, et examiner si les raisons de la diminution de patrimoine entre le versement du rétroactif, en mars 2011, et l’entrée en force de la décision de restitution, en mai 2012. Or, pour la période considérée, ainsi que le fait remarquer l’intimé, la recourante n’a pu justifier comme dépenses que des frais de dentiste à hauteur de 6'120 fr. (cf. factures des 8 mars 2011 et 3 avril 2012). Force est donc de constater qu’en dehors de ce montant, la diminution de fortune intervenue, soit 55'460 fr. (61'580 fr. de rétroactif – 6'120 fr. de dépenses justifiées) ne s’explique pas. Il faut donc en conclure que la recourante s’en est dessaisie sans contre-prestation correspondante et envisager la situation comme si elle en avait encore la maîtrise effective, de sorte qu’elle reste tenue à restitution. Eu égard aux considérations qui précèdent, le recours est rejeté.</w:t>
      </w:r>
    </w:p>
    <w:p>
      <w:r>
        <w:t>A/1418/2013 - 7/7 -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