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ATAS/1288/2012 vom 25. Oktober 2012</w:t>
      </w:r>
    </w:p>
    <w:p>
      <w:r>
        <w:t>GE Cour de justice, 2012-10-25, FR</w:t>
      </w:r>
    </w:p>
    <w:p>
      <w:r>
        <w:rPr>
          <w:b/>
        </w:rPr>
        <w:t xml:space="preserve">Quelle: </w:t>
      </w:r>
      <w:r>
        <w:t>https://mcp.opencaselaw.ch/entscheid/ge_gerichte_ATAS_1288_2012</w:t>
      </w:r>
    </w:p>
    <w:p>
      <w:r>
        <w:t>FR: GE_GERICHTE ATAS/1288/2012 du 25 octobre 2012</w:t>
      </w:r>
    </w:p>
    <w:p>
      <w:r>
        <w:t>IT: GE_GERICHTE ATAS/1288/2012 del 25 ottobre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w:t>
      </w:r>
    </w:p>
    <w:p>
      <w:r>
        <w:rPr>
          <w:b/>
        </w:rPr>
        <w:t>E. 2</w:t>
      </w:r>
    </w:p>
    <w:p>
      <w:r>
        <w:t>A teneur de l'art. 1 al. 1 LAVS, les dispositions de la LPGA s'appliquent en matière d’assurance-vieillesse, à moins que la LAVS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A/2238/2012 - 5/8 -</w:t>
      </w:r>
    </w:p>
    <w:p>
      <w:r>
        <w:rPr>
          <w:b/>
        </w:rPr>
        <w:t>E. 3</w:t>
      </w:r>
    </w:p>
    <w:p>
      <w:r>
        <w:t>Interjeté dans la forme et le délai prescrits, le recours est recevable (art. 56 et 60 LPGA; art. 89B de la loi sur la procédure administrative, du 12 septembre 1985 - LPA ; RS E 5 10).</w:t>
      </w:r>
    </w:p>
    <w:p>
      <w:r>
        <w:rPr>
          <w:b/>
        </w:rPr>
        <w:t>E. 4</w:t>
      </w:r>
    </w:p>
    <w:p>
      <w:r>
        <w:t>Le litige porte sur la question de savoir si c’est à bon droit que l’intimée entend imputer à hauteur de 100 fr. par mois la rente de veuve qu’elle verse à la recourante pour éteindre la créance de cotisations envers le défunt mari de l’intéressée.</w:t>
      </w:r>
    </w:p>
    <w:p>
      <w:r>
        <w:rPr>
          <w:b/>
        </w:rPr>
        <w:t>E. 5</w:t>
      </w:r>
    </w:p>
    <w:p>
      <w:r>
        <w:t>L'entrée en vigueur de la LPGA n'a pas modifié les règles relatives à la compensation, qui reste régie par les lois spéciales ou les principes généraux, sous réserve de l'art. 20 al. 2 LPGA, disposition qui ne s’applique pas en l’occurrence (cf. KIESER, ATSG-Kommentar, Zurich 2003, Remarques préliminaires, p. 13 n. 22). En principe, le droit aux rentes est soustrait à toute exécution forcée (cf. art. 20 al. 1 LAVS dans sa teneur en vigueur depuis le 1er janvier 2003). Toutefois, selon l'art. 20 al. 2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 et autres frais administratifs avec des prestations échues (ATF 115 V341 consid. 2a). L'Office fédéral des assurances sociales (OFAS) a précisé, dans ses Directives concernant les rentes de l'assurance vieillesse, survivants et invalidité fédérale (DR) que sont compensables avec des prestations échues les créances qui appartiennent à une caisse de compensation, à condition que la créance se trouve en étroite corrélation avec la rente.</w:t>
      </w:r>
    </w:p>
    <w:p>
      <w:r>
        <w:rPr>
          <w:b/>
        </w:rPr>
        <w:t>E. 6</w:t>
      </w:r>
    </w:p>
    <w:p>
      <w:r>
        <w:t>En l'espèce, il n’est pas contesté que le défunt mari de la recourante était débiteur d’un montant de 20'759 fr. correspondant à des cotisations personnelles impayées. Dans la mesure où la rente de veuve allouée à la recourante a été calculée en tenant compte des cotisations dont son époux défunt aurait dû s’acquitter, le lien de connexité est patent, de sorte qu’en principe, la compensation est légitime. Reste à examiner le montant de la retenue à laquelle l’intimée entend procéder.</w:t>
      </w:r>
    </w:p>
    <w:p>
      <w:r>
        <w:rPr>
          <w:b/>
        </w:rPr>
        <w:t>E. 7</w:t>
      </w:r>
    </w:p>
    <w:p>
      <w:r>
        <w:t>La compensation opérée avec une rente mensuelle n'est possible que dans la mesure où le montant retenu sur la rente mensuelle ne touche pas le minimum vital de la personne tenue à restitution (ATF 128 V 50 consid. 4a). Pour le calcul du minimum vital de l'assuré, il convient d'appliquer les règles du droit des poursuites (ATF 131 V 252 consid. 1.2, 115 V 343 consid. 2c).</w:t>
      </w:r>
    </w:p>
    <w:p>
      <w:r>
        <w:t>A/2238/2012 - 6/8 - Même s'il existe un pouvoir d'appréciation étendu pour tenir compte des spécificités du cas d'espèce, l'application des normes d'insaisissabilité édictées par les autorités cantonales de surveillance, complétées par la jurisprudence, permet d'assurer dans une large mesure le respect du principe d'égalité entre débiteurs réduits au minimum vital en fonction de leur situation particulière (OCHSNER, Commentaire romand de la Loi fédérale sur la poursuite pour dettes et la faillite, n. 75-79 ad art 93 LP). Les normes d'insaisissabilité pour l'année 2011 (RS E 3 60.04) prévoient que le montant de base mensuel pour un adulte vivant seul s'élève à 1'200 fr. Pour un couple marié ou formant une communauté domestique durable (ATF 132 III 483 consid. 4.2 = JdT 2007 II 78 consid. 4.2), il se monte à 1'700 fr., soit 850 fr. chacun. Les suppléments à ajouter à ce montant de base mensuel sont, notamment, le loyer effectif, charges comprises, les cotisations sociales, ainsi que les dépenses supplémentaires tels que les frais médicaux, les médicaments et la franchise. Les frais de transport ne sont pris en considération qu'en tant que dépenses indispensables à l'exercice d'une profession. Les dettes d'impôt ne sont pas prises en considération dans le calcul du minimum vital du débiteur (ATF non publié 7B.221/2003 du 17 novembre 2003 consid. 2). Seules les primes de l'assurance- maladie obligatoire peuvent être prises en compte dans le calcul du minimum vital, à l'exclusion des primes de l'assurance-maladie complémentaire (ATF 134 III 323 consid. 3). Le montant de base mensuel doit permettre à son bénéficiaire de couvrir les dépenses de nourriture, les frais de vêtements et de linge y compris leur entretien, les soins corporels et de santé, l'entretien du logement, les frais culturels, les frais d'électricité ou de gaz pour la cuisine. La détermination de ce montant ne dépend pas du train de vie mais de la situation familiale du débiteur (OCHSNER, op. cit., n. 87 ad art 93 LP). Au cas où celui-ci n'assume pas seul certaines dépenses comprises dans ledit montant mensuel de base, cela justifie une réduction de celui- ci en fonction de la part prise en charge par les autres membres du ménage (ATF 132 III 483 consid. 4.3 = JdT 2007 II 78 consid. 4.3; BÜHLER, Aktuelle Probleme bei Existenzminimumberechnung, in RSJ 100/2004, p. 25, 27). D'un point de vue temporel, l'examen du minimum vital nécessite que l'on se place au moment où le débiteur doit s'acquitter de sa dette, soit au plus tard au moment de la décision de compensation litigieuse (ATF 113 V 254 consid. 4b, ATF 104 V 61). Le juge des assurances sociales peut cependant exceptionnellement tenir compte de faits nouveaux, postérieurs au prononcé de la décision de la caisse (ATF 104 V 61).</w:t>
      </w:r>
    </w:p>
    <w:p>
      <w:r>
        <w:rPr>
          <w:b/>
        </w:rPr>
        <w:t>E. 8</w:t>
      </w:r>
    </w:p>
    <w:p>
      <w:r>
        <w:t>En l’espèce, il convient donc d’examiner la situation au moment de la décision litigieuse, laquelle a été rendue en juin 2012. Le calcul auquel s’est livrée l’intimée apparaît justifié dans la mesure où il respecte le minimum vital de la recourante.</w:t>
      </w:r>
    </w:p>
    <w:p>
      <w:r>
        <w:t>A/2238/2012 - 7/8 - C’est à juste titre que l’intimée n’a pas pris en considération les primes d’assurance maladie complémentaire au vu de la jurisprudence rappelée supra. La Cour relève par ailleurs que les explications données par la recourante tout au long de la procédure s’agissant de son loyer ont été peu claires : de ses explications, il est finalement ressorti que son fils et son neveu l’avaient dans un premier temps aidée à payer son loyer - à raison de 1'500 fr. par mois chacun -, puis que c’est elle qui a contribué au loyer de son neveu à hauteur de 2/3. La recourante n’a cependant jamais été capable de justifier du paiement de sa part de loyer autrement que par des quittances globales et sommaires signées par son neveu. Quoi qu’il en soit, c’est à juste titre que l’intimée n’a accepté de prendre en compte le loyer qu’à hauteur de 757 fr. 50, soit la moitié du loyer total, dans la mesure où la recourante fait ménage commun avec son neveu. Eu égard aux considérations qui précèdent, la Cour de céans ne peut que constater que la caisse est légitimée à procéder à une compensation et rejeter le recours.</w:t>
      </w:r>
    </w:p>
    <w:p>
      <w:r>
        <w:t>A/2238/2012 - 8/8 -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