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ATAS/1287/2012 vom 25. Oktober 2012</w:t>
      </w:r>
    </w:p>
    <w:p>
      <w:r>
        <w:t>GE Cour de justice, 2012-10-25, FR</w:t>
      </w:r>
    </w:p>
    <w:p>
      <w:r>
        <w:rPr>
          <w:b/>
        </w:rPr>
        <w:t xml:space="preserve">Quelle: </w:t>
      </w:r>
      <w:r>
        <w:t>https://mcp.opencaselaw.ch/entscheid/ge_gerichte_ATAS_1287_2012</w:t>
      </w:r>
    </w:p>
    <w:p>
      <w:r>
        <w:t>FR: GE_GERICHTE ATAS/1287/2012 du 25 octobre 2012</w:t>
      </w:r>
    </w:p>
    <w:p>
      <w:r>
        <w:t>IT: GE_GERICHTE ATAS/1287/2012 del 25 ottobre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est applicable au cas d’espèce en vertu de l’art. 1 al. 1 LACI.</w:t>
      </w:r>
    </w:p>
    <w:p>
      <w:r>
        <w:rPr>
          <w:b/>
        </w:rPr>
        <w:t>E. 3</w:t>
      </w:r>
    </w:p>
    <w:p>
      <w:r>
        <w:t>Interjeté dans les forme et délai prescrits par la loi, le recours est recevable (art. 56 et 60 LPGA et art. 89B de la loi sur la procédure administrative du 12 septembre 1985 [LPA; E 5 10]).</w:t>
      </w:r>
    </w:p>
    <w:p>
      <w:r>
        <w:rPr>
          <w:b/>
        </w:rPr>
        <w:t>E. 4</w:t>
      </w:r>
    </w:p>
    <w:p>
      <w:r>
        <w:t>Le litige porte sur la question de savoir si c’est à bon droit que l’intimé a nié le droit de la recourante à l’indemnité pour réduction de l’horaire de travail (ci-après : RHT) pour la période du 12 mars au 11 juin 2012, étant précisé qu’il est admis que la période litigieuse se réduit en réalité à la période du 12 mars au 30 avril 2012, durant laquelle la RHT a été effectivement mise en application.</w:t>
      </w:r>
    </w:p>
    <w:p>
      <w:r>
        <w:rPr>
          <w:b/>
        </w:rPr>
        <w:t>E. 5</w:t>
      </w:r>
    </w:p>
    <w:p>
      <w:r>
        <w:t>a) Les travailleurs dont la durée normale du travail est réduite ou l’activité suspendue ont droit à l’indemnité pour réduction de l’horaire de travail (ci-après : l’indemnité) lorsqu’ils sont tenus de cotiser à l’assurance ou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 l’on peut</w:t>
      </w:r>
    </w:p>
    <w:p>
      <w:r>
        <w:t>A/2100/2012 - 6/11 -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b) La loi, en son art. 31 al. 3, exclut expressément le droit à l’indemnité pour :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conserver les documents relatifs au contrôle du temps de travail pendant cinq ans (al. 2).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 ». La jurisprudence lui donne une interprétation très large qui englobe tant les raisons conjoncturelles que les raisons structurelles à l’origine d’une baisse du carnet de</w:t>
      </w:r>
    </w:p>
    <w:p>
      <w:r>
        <w:t>A/2100/2012 - 7/11 -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 perte de travail est due à des facteurs d’ordre économique et est inévitable (circulaire RHT G16). d) La loi exclut expressément en son art. 33 al. 1 la prise en considération de la perte de travail - même lorsque celle-ci répond aux critères énoncés par l’art. 32 al. 1 LACI - lorsque : a.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b. lorsqu'elle est habituelle dans la branche, la profession ou l'entreprise, ou qu'elle est causée par des fluctuations saisonnières de l'emploi (art. 33 al. 1 let. b LACI); c. lorsqu’elle coïncide avec des jours fériés, est provoquée par les vacances de l’entreprise ou que l’employeur ne la fait valoir que pour certains jours précédant ou suivant immédiatement des jours fériés ou des vacances d’entreprise (art. 33 al. 1 let. c LACI); d. lorsque le travailleur n’accepte pas la réduction de son horaire de travail et, partant, doit être rémunéré conformément au contrat de travail (art. 33 al. 1 let. d LACI);</w:t>
      </w:r>
    </w:p>
    <w:p>
      <w:r>
        <w:t>A/2100/2012 - 8/11 - e. lorsqu’elle touche des personnes qui ont un emploi d’une durée déterminée, sont en apprentissage ou au service d’une organisation de travail temporaire (art. 33 al. 1 let. e LACI); f. ou enfin, lorsque la réduction de la durée du travail est causée par un conflit collectif de travail au sein de l’exploitation dans laquelle travaille l’assuré (art. 33 al. 1 let. f LACI). Il est encore précisé qu’afin d’empêcher des abus, le Conseil fédéral peut prévoir d’autres cas où la perte de travail n’est pas prise en considération (art. 33 al. 2 LACI)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encore que,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commandes (circulaire RHT D6).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w:t>
      </w:r>
    </w:p>
    <w:p>
      <w:r>
        <w:t>A/2100/2012 - 9/11 - a. le nombre des travailleurs occupés dans l’entreprise et celui des travailleurs touchés par la réduction de l’horaire de travail (art. 36 al. 2 let. a LACI), b. l’ampleur de la réduction de l’horaire de travail ainsi que sa durée probable (art. 36 al. 2 let. b LACI), c. et la caisse auprès de laquelle il entend faire valoir le droit à l’indemnité (art. 36 al. 2 let. c LACI). Il doit en outre justifier la réduction de l’horaire de travail envisagée et rendre plausible que les conditions dont dépend le droit à l’indemnité (c'est-à-dire perte de travail inévitable et due à des facteurs d’ordre économique) sont réunies.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(réduction déterminable, horaire de travail suffisamment contrôlable, conjoint ou personne pouvant prendre les décisions) et 32 al. l let. b (au moins 10% de l’ensemble des heures normalement effectuées) LACI - sont remplies (circulaire RHT G16 et G18; art. 39 al. 1 LACI).</w:t>
      </w:r>
    </w:p>
    <w:p>
      <w:r>
        <w:rPr>
          <w:b/>
        </w:rPr>
        <w:t>E. 6</w:t>
      </w:r>
    </w:p>
    <w:p>
      <w:r>
        <w:t>En l’espèce, il convient de se placer au moment où la demande d’indemnité a été déposée, soit en l’occurrence le 22 février 2012. La recourante a invoqué une baisse de fréquentation attribuée au fait que sa clientèle appartient à un secteur touché par la récession, à l'interdiction de fumer et aux nuisances engendrées par le chantier du tramway. Le SECO et l’intimé ont quant à eux considéré que la mauvaise conjoncture économique, l'interdiction de fumer dans les lieux publics, les nuisances engendrées par les travaux du tramway ou le changement d'habitudes de la clientèle correspondent aux risques normaux d'exploitation que doit assumer tout employeur. On relèvera tout d’abord qu’ainsi que l’ont fait remarquer le SECO et l’intimé, l'interdiction de fumer dans les lieux publics - qui remonte au 1er mai 2010 - concerne tous les restaurants de Suisse et que la recourante n’a pas démontré en quoi elle serait plus touchée qu’un autre restaurant dans la même situation (c'est-à-</w:t>
      </w:r>
    </w:p>
    <w:p>
      <w:r>
        <w:t>A/2100/2012 - 10/11 - dire dépourvu de terrasse). Cet argument ne saurait donc être retenu et cette circonstance doit effectivement être considérée comme inhérente au risque normal d’exploitation. Il en va de même des arguments relatifs au type de clientèle qui fréquente l’établissement en question ou aux travaux puisque la recourante n’a pas non plus démontré en quoi elle serait plus touchée que d'autres établissements situés dans le même quartier. La société a produit ses comptes des dernières années. Il en ressort que si le chiffre d’affaires a régulièrement diminué de mars à septembre 2010, il est ensuite remonté fortement à la fin de cette année-là, avant de diminuer à nouveau d’avril à novembre 2011 (à l’exception du mois de mai). Si les deux premiers mois de l’année 2012 s’avèrent effectivement moins bons que deux ans plus tôt, force est de constater qu’ils sont équivalents à ceux de l’année 2011. Ainsi, comme relevé précédemment, les chiffes concernant la recourante en particulier ne permettent pas de démontrer l’existence d’un lien de causalité entre la baisse du chiffre d’affaire et l’interdiction de fumer, les travaux ou encore le type de clientèle. Cependant, l’argument de l’intimé selon lequel la baisse du chiffre d'affaires n'implique pas forcément une baisse de fréquentation du restaurant mais simplement un changement des habitudes de consommation ne saurait convaincre, vu l’ampleur des variations (chiffre d’affaires variant de 9'500 fr. à 157'500 fr. selon les mois). Il semble bien plutôt que les variations soient saisonnières et à mettre en lien avec le type de cuisine offert par l’établissement. Partant, elles doivent être considérées comme faisant partie du risque normal de l’entrepreneur étant rappelé que celui-ci comprend les pertes de travail habituelles, c'est-à-dire celles qui, d'après l'expérience de la vie, surviennent périodiquement et qui, par conséquent, peuvent faire l'objet de calculs prévisionnels. Font ainsi partie des risques normaux d'exploitation, les fluctuations régulières d’un carnet de commande. Au surplus, la recourante n’a pas démontré qu’elle était touchée plus durement qu'une autre entreprise de la même branche. Dans ces circonstances, le recours doit être rejeté.</w:t>
      </w:r>
    </w:p>
    <w:p>
      <w:r>
        <w:t>A/2100/2012 - 11/11 -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