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ATAS/1285/2021 vom 14. Dezember 2021</w:t>
      </w:r>
    </w:p>
    <w:p>
      <w:r>
        <w:t>GE Cour de justice, 2021-12-14, FR</w:t>
      </w:r>
    </w:p>
    <w:p>
      <w:r>
        <w:rPr>
          <w:b/>
        </w:rPr>
        <w:t xml:space="preserve">Quelle: </w:t>
      </w:r>
      <w:r>
        <w:t>https://mcp.opencaselaw.ch/entscheid/ge_gerichte_ATAS_1285_2021</w:t>
      </w:r>
    </w:p>
    <w:p>
      <w:r>
        <w:t>FR: GE_GERICHTE ATAS/1285/2021 du 14 décembre 2021</w:t>
      </w:r>
    </w:p>
    <w:p>
      <w:r>
        <w:t>IT: GE_GERICHTE ATAS/1285/2021 del 14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A/1505/2020 - 10/15 -</w:t>
      </w:r>
    </w:p>
    <w:p>
      <w:r>
        <w:rPr>
          <w:b/>
        </w:rPr>
        <w:t>E. 2</w:t>
      </w:r>
    </w:p>
    <w:p>
      <w:r>
        <w:t>En l'espèce, le litige porte sur le droit de feu Mme A______ à l'augmentation de sa rente d'invalidité, à titre de révision de la décision initiale du 28 février 2018. La recourante étant décédée au cours de la procédure, il y a lieu de se demander si son veuf et leurs trois enfants ont qualité pour recourir contre la décision de refus de réviser la rente (décision du 27 avril 2020).</w:t>
      </w:r>
    </w:p>
    <w:p>
      <w:r>
        <w:rPr>
          <w:b/>
        </w:rPr>
        <w:t>E. 2.1</w:t>
      </w:r>
    </w:p>
    <w:p>
      <w:r>
        <w:t>L’art. 59 LPGA prévoit que quiconque est touché par la décision ou la décision sur opposition et a un intérêt digne d’être protégé à ce qu’elle soit annulée ou modifiée a qualité pour recourir.</w:t>
      </w:r>
    </w:p>
    <w:p>
      <w:r>
        <w:rPr>
          <w:b/>
        </w:rPr>
        <w:t>E. 2.2</w:t>
      </w:r>
    </w:p>
    <w:p>
      <w:r>
        <w:t>Le droit à la rente d'invalidité n'est pas un droit strictement personnel ; il est donc transmissible par succession (art. 560 al. 2 du Code civil suisse, du 10 décembre 1907 [CC - RS 210] ; ATF 99 V 167 consid. 2a). Par conséquent, un litige portant sur le droit d'un assuré à une rente de l'assurance-invalidité ne devient pas sans objet en raison du décès de l'assuré en cours de procédure (arrêt du tribunal fédéral I 455/06 du 22 janvier 2007).</w:t>
      </w:r>
    </w:p>
    <w:p>
      <w:r>
        <w:rPr>
          <w:b/>
        </w:rPr>
        <w:t>E. 2.3</w:t>
      </w:r>
    </w:p>
    <w:p>
      <w:r>
        <w:t>Aux termes de l'art. 560 CC,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(ATF 112 II 300 consid. 4b ; voir également IVO SCHWANDER, in Basler Kommentar, Zivilgesetzbuch, vol. II, 2ème éd. 2003, n. 8 ad art. 560 CC ; TUOR/PICENONI, Berner Kommentar, 2ème éd., 1964, n. 4 ad art. 560 CC ; ESCHER/ESCHER, Zürcher Kommentar, 3ème éd., 1959, vol. III. 1, n. 5b ad introduction). Ce faisant, la succession ne modifie pas la nature juridique des droits transférés :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 (ATF 141 V 170 consid. 4.3).</w:t>
      </w:r>
    </w:p>
    <w:p>
      <w:r>
        <w:rPr>
          <w:b/>
        </w:rPr>
        <w:t>E. 2.4</w:t>
      </w:r>
    </w:p>
    <w:p>
      <w:r>
        <w:t>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w:t>
      </w:r>
    </w:p>
    <w:p>
      <w:r>
        <w:t>A/1505/2020 - 11/15 - valoir les droits appartenant à la communauté (TUOR/PICENONI, n. 32 ss ad art. 602 CC ; ESCHER, n. 4 et 58 ss ad art. 602 CC). Les héritiers doivent ainsi agir en commun pour obtenir une prestation ou pour faire constater un droit (ATF 116 Ib 447 consid. 2a et les références).</w:t>
      </w:r>
    </w:p>
    <w:p>
      <w:r>
        <w:rPr>
          <w:b/>
        </w:rPr>
        <w:t>E. 2.5</w:t>
      </w:r>
    </w:p>
    <w:p>
      <w:r>
        <w:t>Les membres d'une communauté héréditaire peuvent cependant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À défaut d'accord de tous les héritiers, le recours doit dans ce cas être déclaré irrecevable, alors même que les conditions posées quant à la qualité pour agir seraient réalisées dans la personne des héritiers qui recourent (ATF 116 Ib 447 consid. 2b et les références).</w:t>
      </w:r>
    </w:p>
    <w:p>
      <w:r>
        <w:rPr>
          <w:b/>
        </w:rPr>
        <w:t>E. 2.6</w:t>
      </w:r>
    </w:p>
    <w:p>
      <w:r>
        <w:t>En l'espèce, le recours a été introduit par feu Mme A______, laquelle est décédée en cours de procédure. Ses héritiers légaux sont son veuf et ses trois enfants, lesquels ont sollicité la reprise la procédure et appuyé les conclusions du recours. L'on entrera dès lors en matière sur le recours.</w:t>
      </w:r>
    </w:p>
    <w:p>
      <w:r>
        <w:rPr>
          <w:b/>
        </w:rPr>
        <w:t>E. 3</w:t>
      </w:r>
    </w:p>
    <w:p>
      <w:r>
        <w:t>La recourante a fait valoir dans son recours que son état de santé psychique s'était dégradé, de sorte qu'elle ne disposait plus de la moindre capacité de travail, même dans une activité adaptée. Elle sollicitait la modification de la décision par laquelle lui avait été reconnu un droit à une demi-rente. Le statut de ménagère n'est pas remis en cause.</w:t>
      </w:r>
    </w:p>
    <w:p>
      <w:r>
        <w:rPr>
          <w:b/>
        </w:rPr>
        <w:t>E. 3.1</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3.2</w:t>
      </w:r>
    </w:p>
    <w:p>
      <w:r>
        <w:t>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3.3</w:t>
      </w:r>
    </w:p>
    <w:p>
      <w:r>
        <w:t>Il n'y a pas matière à révision lorsque les circonstances sont demeurées inchangées et que le motif de la suppression ou de la diminution de la rente réside</w:t>
      </w:r>
    </w:p>
    <w:p>
      <w:r>
        <w:t>A/1505/2020 - 12/15 - uniquement dans une nouvelle appréciation du cas (ATF 112 V 372 consid. 2b).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w:t>
      </w:r>
    </w:p>
    <w:p>
      <w:r>
        <w:rPr>
          <w:b/>
        </w:rPr>
        <w:t>E. 3.4</w:t>
      </w:r>
    </w:p>
    <w:p>
      <w:r>
        <w:t>Selon l'art. 87 al. 2 RAI, lorsqu'une demande de révision est déposée, celle-ci doit établir de façon plausible que l'invalidité, l'impotence ou l'étendue du besoin de soins ou du besoin d'aide découlant de l'invalidité de l'assuré s'est modifiée de manière à influencer ses droits.</w:t>
      </w:r>
    </w:p>
    <w:p>
      <w:r>
        <w:rPr>
          <w:b/>
        </w:rPr>
        <w:t>E. 3.5</w:t>
      </w:r>
    </w:p>
    <w:p>
      <w:r>
        <w:t>Selon l'art. 27 RAI, pour évaluer l'invalidité d'un assuré n'exerçant pas d'activité lucrative au sens de l'art. 5 al. 1 LAI, on effectue une comparaison des activités et on cherche à établir dans quelle mesure l'intéressé est empêché d'accomplir ses travaux habituels (méthode spécifique ; al. 1). Par travaux habituels des assurés travaillant dans le ménage, on entend l'activité usuelle dans le ménage et l'éducation des enfants (al. 2).</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La règle de la vraisemblance prépondérante vaut naturellement aussi quand il s'agit de décider si des troubles somatoformes ou des troubles analogues sont aptes à entraîner une incapacité de travail de longue durée pouvant conduire à une invalidité (arrêt D. du 9 août 2006, I 391/06, consid. 2). Le décès d'un assuré en cours de procédure (judiciaire ou administrative), rendant impossible une expertise sur la personne de celui-ci, ne saurait constituer un motif supplémentaire d'allégement de la preuve, dès lors que la règle de la vraisemblance prépondérante constitue déjà une restriction du degré de la preuve requis. Même si l'expertise ne peut plus être réalisée, il ne suffit donc pas que le</w:t>
      </w:r>
    </w:p>
    <w:p>
      <w:r>
        <w:t>A/1505/2020 - 13/15 - juge acquière l'impression d'une certaine vraisemblance des faits pertinents (ATF 130 III 325 consid. 3.3). Il ne se justifie pas davantage de statuer, dans le doute, en faveur de l'assuré (ATF 126 V 322 consid. 5a). Tout au plus doit-on exiger que les pièces existantes fassent l'objet d'un examen particulièrement attentif par le juge. Une expertise sur pièces pourra être ordonnée si l'on peut raisonnablement en attendre l'établissement de faits pertinents. Sous la même condition également, des précisions pourront être demandées, le cas échéant, aux experts qui ont examiné l'assuré de son vivant. Au besoin, des renseignements seront aussi demandés au médecin traitant, en particulier quand le décès est dû à une atteinte à la santé pour laquelle les prestations sont requises.</w:t>
      </w:r>
    </w:p>
    <w:p>
      <w:r>
        <w:rPr>
          <w:b/>
        </w:rPr>
        <w:t>E. 5</w:t>
      </w:r>
    </w:p>
    <w:p>
      <w:r>
        <w:t>En l'espèce, dans la décision initiale par laquelle la recourante s'est vue reconnaître le droit à une demi-rente, l'OAI a établi, conformément aux avis médicaux recueillis, que la recourante était totalement incapable de travailler en raison de son atteinte psychique. La recourante a motivé sa demande de révision en exposant que son « état de santé psychique et physique ne lui permettait pas de tenir un travail rémunéré ». Aucune atteinte somatique incapacitante n'est survenue depuis la décision de rente. Du point de vue psychiatrique, l'état de la recourante est resté presque complètement stationnaire depuis l'octroi de la rente en 2017 selon la psychiatre traitante de la recourante, qui a d'ailleurs noté une disparition des idées et des comportements suicidaires, ainsi qu'une très légère reprise d'autonomie dans la mesure où la patiente arrivait certains jours à emmener son fils, seule, à l'école (cf. rapports des 26 juillet 2019 et 24 octobre 2019 de la Dre K______). L'atteinte psychique de la recourante l'a empêchée d'exercer toute activité professionnelle depuis septembre 2016. Ce fait a été retenu dans la décision par laquelle la recourante s'est vue reconnaître un droit à une demi-rente. La situation n'a pas pu se modifier depuis lors. Les rapports des médecins de la recourante et notamment les plus récents rapports de la Dre K______ ne font que confirmer que la recourante ne peut pas exercer une activité professionnelle, même adaptée. Ce fait déjà pris en compte dans la décision de rente ne peut dès lors pas donner lieu à une révision de la rente. La capacité de la recourante à faire des tâches ménagères et l'exigibilité de ses proches ont fait l'objet d'une enquête qui n'est pas remise en cause par la recourante dans le cadre de la révision. En toutes hypothèses, ce rapport prend en compte tous les éléments pertinents, à savoir les atteintes psychiques retenues par les médecins lors de l'instruction de la demande de rente – atteintes qui sont restées stationnaires depuis lors –, la situation de la recourante dans son foyer avant son tragique accident et l'aide alors</w:t>
      </w:r>
    </w:p>
    <w:p>
      <w:r>
        <w:t>A/1505/2020 - 14/15 - apportée par son conjoint et les filles du couple. Aucune pièce médicale au dossier n'apporte d'élément concret qui permettrait de douter de l'évaluation de l'enquêtrice sur le caractère raisonnablement exigible des différentes tâches, d'un point de vue médical, l'enquêtrice ayant précisément pris en compte tous les empêchements allégués par la recourante et ses médecins. L'on doit en outre constater que le suivi psychiatrique mis en œuvre avait, en 2019, donné lieu à une légère reprise d'autonomie dans les tâches quotidiennes, le fait qu'il arrivait à la recourante d'aller chercher seule son enfant à l'école en est un exemple probant. Eu égard à ce qui précède, la chambre de céans constate que les conditions pour admettre la demande de révision et augmenter la rente conformément aux conclusions de la recourante ne sont pas remplies. Des mesures d'instruction supplémentaires ne permettraient pas d'aboutir à une autre conclusion. L'avis des médecins de la recourante ne sont pas contestés. L'audition de Dre K______ n'apporterait ainsi pas d'élément décisif s'agissant d'une atteinte à la santé psychique, dont il a déjà été retenu qu'elle réduisait entièrement la capacité de travail de l'assurée.</w:t>
      </w:r>
    </w:p>
    <w:p>
      <w:r>
        <w:rPr>
          <w:b/>
        </w:rPr>
        <w:t>E. 6</w:t>
      </w:r>
    </w:p>
    <w:p>
      <w:r>
        <w:t>Il en résulte que l'assurée décédée ne pouvait pas prétendre à une rente supérieure que la demi-rente à laquelle elle avait droit.</w:t>
      </w:r>
    </w:p>
    <w:p>
      <w:r>
        <w:rPr>
          <w:b/>
        </w:rPr>
        <w:t>E. 7</w:t>
      </w:r>
    </w:p>
    <w:p>
      <w:r>
        <w:t>Mal fondé, le recours doit par conséquent être rejeté.</w:t>
      </w:r>
    </w:p>
    <w:p>
      <w:r>
        <w:rPr>
          <w:b/>
        </w:rPr>
        <w:t>E. 8</w:t>
      </w:r>
    </w:p>
    <w:p>
      <w:r>
        <w:t>Bien que la procédure ne soit pas gratuite en matière de contestations portant, comme en l’espèce, sur l’octroi ou le refus de prestations de l’assurance-invalidité, en dérogations à l’art. 61 let. a LPGA (art. 69 al. 1bis LAI), la chambre de céans renoncera, dans le contexte de cette procédure, à mettre un émolument à la charge de la partie recourante. * * * * * *</w:t>
      </w:r>
    </w:p>
    <w:p>
      <w:r>
        <w:t>A/1505/2020 - 15/15 -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