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ATAS/1285/2012 vom 25. Oktober 2012</w:t>
      </w:r>
    </w:p>
    <w:p>
      <w:r>
        <w:t>GE Cour de justice, 2012-10-25, FR</w:t>
      </w:r>
    </w:p>
    <w:p>
      <w:r>
        <w:rPr>
          <w:b/>
        </w:rPr>
        <w:t xml:space="preserve">Quelle: </w:t>
      </w:r>
      <w:r>
        <w:t>https://mcp.opencaselaw.ch/entscheid/ge_gerichte_ATAS_1285_2012</w:t>
      </w:r>
    </w:p>
    <w:p>
      <w:r>
        <w:t>FR: GE_GERICHTE ATAS/1285/2012 du 25 octobre 2012</w:t>
      </w:r>
    </w:p>
    <w:p>
      <w:r>
        <w:t>IT: GE_GERICHTE ATAS/1285/2012 del 25 ottobre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t>A/2428/2011 - 7/16 -</w:t>
      </w:r>
    </w:p>
    <w:p>
      <w:r>
        <w:rPr>
          <w:b/>
        </w:rPr>
        <w:t>E. 2</w:t>
      </w:r>
    </w:p>
    <w:p>
      <w:r>
        <w:t>Le recours interjeté respectant les forme et délai prévus par la loi (art. 56 à 60 LPGA), il y a lieu de le déclarer recevable.</w:t>
      </w:r>
    </w:p>
    <w:p>
      <w:r>
        <w:rPr>
          <w:b/>
        </w:rPr>
        <w:t>E. 3</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La loi fédérale du 16 décembre 2005 modifiant la LAI est entrée en vigueur le 1er juillet 2006 (RO 2006 2003), apportant des modifications qui concernent notamment la procédure conduite devant le Tribunal cantonal des assurances (art. 52, 58 et 61 let. a LPGA).</w:t>
      </w:r>
    </w:p>
    <w:p>
      <w:r>
        <w:rPr>
          <w:b/>
        </w:rPr>
        <w:t>E. 4</w:t>
      </w:r>
    </w:p>
    <w:p>
      <w:r>
        <w:t>La question litigieuse est celle de savoir si l’assurée est invalide au point de se voir ouvrir droit aux prestations de l’assurance-invalidité, plus particulièrement de savoir quel statut elle doit se voir reconnaitre et à combien s’élève son degré d’invalidité.</w:t>
      </w:r>
    </w:p>
    <w:p>
      <w:r>
        <w:rPr>
          <w:b/>
        </w:rPr>
        <w:t>E. 5</w:t>
      </w:r>
    </w:p>
    <w:p>
      <w:r>
        <w:t>a) Se pose en premier lieu la question de savoir quel statut il convient d'accorder à l'assurée. L'intimé a considéré qu'elle devait être qualifiée de personne active à 30%, ce que l'intéressée conteste, alléguant désormais qu’en bonne santé, elle aurait travaillé à plein temps.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w:t>
      </w:r>
    </w:p>
    <w:p>
      <w:r>
        <w:t>A/2428/2011 - 8/16 -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c) En l’espèce, il est constant que la recourante n'a plus exercé d'activité lucrative depuis de nombreuses années. Certes, la recourante a affirmé en audience et dans ses écritures, qu’elle aurait travaillé à plein temps si son état de santé le lui avait permis et ce, depuis 2008. Elle en veut pour preuve le fait d’avoir recherché un poste à plein temps dès février 2008, lorsqu’elle s’est annoncée à l’assurance-chômage. Ainsi que le fait remarquer l’intimé, la recourante n’a plus exercé d’activité rémunérée depuis 1992. Du rassemblement des extraits de compte individuel AVS de l’intéressée, il ressort qu’elle a réalisé des revenus de 9'300 fr. en 1988, de 19'940 fr. (8'336 +11'604) en 1989 et de 24'148 fr. en 1990, qu’elle a été au chômage de 1991 à 1993 - période durant laquelle elle a recherché un emploi à plein temps dans la vente, ainsi que le démontrent les feuilles de recherches produites et qu’en dehors de ces périodes, elle a toujours été sans activité lucrative. En 1992, c'est-à-dire avant la naissance de son fils, l’assurée a travaillé durant six mois à raison de 20 h./sem. à la buanderie des Hôpitaux Universitaires de Genève (HUG). Elle affirme qu’elle aurait travaillé plus si on le lui avait offert. En 1997, à la naissance de son fils, la recourante a cessé de travailler puis a repris une activité bénévole chez X__________ deux ou trois ans plus tard, à raison de 20 h./sem. toujours, et ce, durant environ deux ans. Par la suite, elle a suivi durant une année et demie les cours d’une école de coiffure à raison de 20 h./sem. également. S’il est ainsi établi que l’assurée a recherché une activité à plein temps au début des années 90, force est de constater qu’elle n’a sans doute jamais travaillé à ce taux (si l’on en croit la modicité des revenus réalisés entre 1988 et 1990). Qui plus est, ses déclarations se sont modifiées au cours de la procédure puisqu’après avoir affirmé dans son formulaire de demande de prestations qu’elle était femme au foyer, la recourante a déclaré lors de l’enquête ménagère qu’en bonne santé, elle aurait</w:t>
      </w:r>
    </w:p>
    <w:p>
      <w:r>
        <w:t>A/2428/2011 - 9/16 - travaillé à 30% avant de soutenir devant la Cour de céans qu’elle aurait exercé à plein temps. Or, bien que la situation financière de la recourante se fût péjorée au moment de son divorce, en 2005, et qu’elle ne souffrît alors d’aucune atteinte à sa santé, force est de constater qu’elle n’a pas repris d’activité lucrative à ce moment-là. Son train de vie depuis lors a toujours été modeste. Eu égard à ces circonstances, le statut de personne active à 30% seulement reconnu à la recourante par l’intimé apparaît justifié dans la mesure où il correspond aux affirmations de la recourante durant l’enquête ménagère. Les considérations contraires émises par l'intéressée uniquement après que l'intimé a rendu son projet de décision ne sauraient remettre en cause ces conclusions, dans la mesure où elles semblent être le fruit de réflexions ultérieures. En effet, il convient de donner la préférence aux premières déclarations faites par la recourante, alors qu'elle en ignorait vraisemblablement les conséquences juridiques (cf. ATF 121 V 47 consid. 2a, 115 V 143 consid. 8c). En conclusion, les griefs de la recourante relatifs à la qualification de son statut par l'intimé sont rejetés. Elle doit être considérée comme une personne active à 30% seulement.</w:t>
      </w:r>
    </w:p>
    <w:p>
      <w:r>
        <w:rPr>
          <w:b/>
        </w:rPr>
        <w:t>E. 6</w:t>
      </w:r>
    </w:p>
    <w:p>
      <w:r>
        <w:t>a) Il convient à présent d’examiner si la recourante peut se voir reconnaitre un degré d’invalidité suffisant pour lui ouvrir droit aux prestations de l’assurance.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w:t>
      </w:r>
    </w:p>
    <w:p>
      <w:r>
        <w:t>A/2428/2011 - 10/16 - ne se confond pas forcément avec le taux de l’incapacité fonctionnelle, tel que le détermine le médecin ; ce sont les conséquences économiques de l’incapacité fonctionnelle qu’il importe d’évaluer (ATF 105 V 207ss.; 106 V 88; 110 V 275; RCC 1981 p. 124 consid. 1a). c)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w:t>
      </w:r>
    </w:p>
    <w:p>
      <w:r>
        <w:t>A/2428/2011 - 11/16 -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Pour établir la capacité de travail de la recourante, l'OAI s'est fondé sur l’évaluation du propre médecin traitant de l’intéressée, qui affirmait, au moment de la décision litigieuse, que sa patiente était capable d’exercer une activité</w:t>
      </w:r>
    </w:p>
    <w:p>
      <w:r>
        <w:t>A/2428/2011 - 12/16 - professionnelle à 50%. Certes, ce médecin a ensuite expliqué qu’il entendait par là « à 50% au maximum », mais il n’a pas allégué que cette capacité était alors inférieure à celle de 30% nécessaire à la recourante pour exercer au taux d’occupation retenu. En audience, la recourante a annoncé être suivie depuis septembre 2011 par un psychiatre, suite à une aggravation de son état de santé qu’elle a fait remonter à l’été 2011. Le Dr A__________ a confirmé cette péjoration, qu’il s’est cependant déclaré dans l’incapacité de situer précisément dans le temps. De ses déclarations, il ressort toutefois que l’incapacité de la recourante était de 60% en avril-mai 2011 - ce qui correspond à une capacité de travail de 40%, suffisante pour lui permettre de travailler à 30%. Dans la mesure où la dernière modification du traitement antidépresseur remonte à l’été 2011 selon l’assurée et son médecin, il faut en conclure que l’aggravation alléguée est postérieure à la décision litigieuse, laquelle a été rendue le 8 juillet 2011. Elle sort donc du cadre du litige. Il suit de ce qui précède qu’au moment de la décision litigieuse, la recourante était apte à travailler à 30% au moins, de sorte que c’est à juste titre que l’intimé a retenu un degré d’invalidité de 0% dans la sphère professionnelle.</w:t>
      </w:r>
    </w:p>
    <w:p>
      <w:r>
        <w:rPr>
          <w:b/>
        </w:rPr>
        <w:t>E. 7</w:t>
      </w:r>
    </w:p>
    <w:p>
      <w:r>
        <w:t>a) La recourante conteste également l’empêchement retenu dans la sphère ménagère. b)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w:t>
      </w:r>
    </w:p>
    <w:p>
      <w:r>
        <w:t>A/2428/2011 - 13/16 -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(ATFA I 311/03 du 22 décembre 2003, consid. 5.3). c) En l’espèce, il n’existe aucun élément permettant de mettre en doute la valeur probante et les conclusions de l’enquête ménagère. Certes, l’enquête n’a pas été réalisée au domicile de la recourante, mais à la demande expresse de celle-ci, qui a invoqué les tensions existant entre elle et son fils. Il apparaît cependant au vu du diagnostic retenu par le psychiatre traitant que non seulement l’intéressée était apte à répondre aux questions de l’enquêtrice mais également qu’elle ne rencontre aucun empêchement dans l’accomplissement des tâches ménagères. En effet, les seules limitations évoquées par le médecin se réfèrent aux difficultés relationnelles de sa patiente et confirment ainsi le sentiment exprimé par l’enquêtrice, laquelle a rappelé qu’il est exigible d’un assuré qu’il fractionne ses tâches ou les répartisse autrement dans le temps. Force est de constater que ni la recourante ni son médecin n’amènent d’éléments objectifs permettant de contester les empêchements retenus par l’enquêtrice dans les différents postes. En conséquence, le Tribunal constate qu’en l’occurrence, il n’y a pas lieu de s’écarter du degré d’invalidité retenu dans la sphère ménagère.</w:t>
      </w:r>
    </w:p>
    <w:p>
      <w:r>
        <w:rPr>
          <w:b/>
        </w:rPr>
        <w:t>E. 8</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A/2428/2011 - 14/16 -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c) En l’espèce, il a été établi que l’assurée, sans atteinte à la santé, aurait travaillé à 30%. La comparaison des revenus pour la part consacrée à l’activité lucrative se révèle ainsi inutile puisqu’il a été admis que l’assurée conservait une capacité supérieure au taux d’occupation de 30% qui aurait été le sien et qu’elle serait capable d’assumer une activité semblable à celles précédemment exercées. Le degré d’invalidité dans la sphère professionnelle est ainsi de 0%.</w:t>
      </w:r>
    </w:p>
    <w:p>
      <w:r>
        <w:t>A/2428/2011 - 15/16 - C’est donc à juste titre que l’intimé a retenu un degré d'invalidité global de 12,6 % (18 % dans la sphère ménagère [70 %], 0% dans la sphère professionnelle [30%]), insuffisant pour ouvrir droit à des prestations. Au vu de ce qui précède, force est de constater que le recours, mal fondé, doit être rejeté.</w:t>
      </w:r>
    </w:p>
    <w:p>
      <w:r>
        <w:t>A/2428/2011 - 16/16 -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