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ATAS/1285/2007 vom 28. November 2007</w:t>
      </w:r>
    </w:p>
    <w:p>
      <w:r>
        <w:t>GE Cour de justice, 2007-11-28, FR</w:t>
      </w:r>
    </w:p>
    <w:p>
      <w:r>
        <w:rPr>
          <w:b/>
        </w:rPr>
        <w:t xml:space="preserve">Quelle: </w:t>
      </w:r>
      <w:r>
        <w:t>https://mcp.opencaselaw.ch/entscheid/ge_gerichte_ATAS_1285_2007</w:t>
      </w:r>
    </w:p>
    <w:p>
      <w:r>
        <w:t>FR: GE_GERICHTE ATAS/1285/2007 du 28 novembre 2007</w:t>
      </w:r>
    </w:p>
    <w:p>
      <w:r>
        <w:t>IT: GE_GERICHTE ATAS/1285/2007 del 28 novembre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w:t>
      </w:r>
    </w:p>
    <w:p>
      <w:r>
        <w:t>A/4155/2007 - 5/8 -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prévus par la loi, le recours est recevable (art. 56 et 60 LPGA).</w:t>
      </w:r>
    </w:p>
    <w:p>
      <w:r>
        <w:rPr>
          <w:b/>
        </w:rPr>
        <w:t>E. 4</w:t>
      </w:r>
    </w:p>
    <w:p>
      <w:r>
        <w:t>La recourante sollicite préalablement "en mesures provisionnelles puis sur le fond" l'octroi de l'effet suspensif au recours et à l'octroi d'une rente entière d'invalidité dès le 1er août 2004.</w:t>
      </w:r>
    </w:p>
    <w:p>
      <w:r>
        <w:rPr>
          <w:b/>
        </w:rPr>
        <w:t>E. 5</w:t>
      </w:r>
    </w:p>
    <w:p>
      <w:r>
        <w:t>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p. 562 ch. m. 16 ad art. 56 et la référence; ATF 129 V 376 consid. 4.3 in fine). Par renvoi de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ou l'office AI peut, dans sa décision, prévoir qu'un recours éventuel n'aura pas d'effet suspensif, même si la décision porte sur une prestation pécuniaire. L'entrée en vigueur de la LPGA et de l'OPGA n'a rien changé à la jurisprudence en matière de retrait par l'administration de l'effet suspensif à une opposition ou à un recours ou de restitution de l'effet suspensif (ATFA P.-S. du 24 février 2004 I 46/04). Ainsi,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w:t>
      </w:r>
    </w:p>
    <w:p>
      <w:r>
        <w:t>A/4155/2007 - 6/8 -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applicable par analogie à l'assurance- invalidité en vertu de l'art. 81 LAI (abrogé par la LPGA). En l'occurrence, le Tribunal de céans relève préalablement que la décision de l'intimé, à savoir l'octroi d'une demi-rente d'invalidité à la recourante, n'est assortie d'aucun retrait d'effet suspensif. La demande d'octroi d'effet suspensif est dès lors sans objet.</w:t>
      </w:r>
    </w:p>
    <w:p>
      <w:r>
        <w:rPr>
          <w:b/>
        </w:rPr>
        <w:t>E. 6</w:t>
      </w:r>
    </w:p>
    <w:p>
      <w:r>
        <w:t>En réalité, il y a lieu d'admettre que la requête de la recourante tendant à l'octroi immédiat d'une rente entière d'invalidité à compter du 1er août 2004 est une demande de mesures provisionnelles. Selon l'art. 56 PA, après le dépôt du recours, l'autorité saisie peut prendre d'autres mesures provisionnelles, d'office ou sur requête d'une partie, pour maintenir provisoirement intact un état de fait ou de droit. Bien qu'elle ne soit pas mentionnée dans les dispositions énumérées à l'art. 1 al. 3 PA, la jurisprudence considère que l'art 56 PA constitue une base de droit fédéral pour le prononcé de mesures provisionnelles en procédure de recours cantonale (ATF 119 V 297 consid. 4, 117 V 189 consid. 1c; Benoît BOVAY, Procédure administrative, Berne 2000, p. 50 ss). Les principes développés à propos des art. 55 PA et 97 LAVS sont applicables par analogie dans le cadre de l'art. 56 PA (ATF 117 V 191 consid. 2b). En particulier, l'autorité doit procéder à une pesée des intérêts en présence; les mesures doivent être justifiées par un intérêt privé ou public prépondérant (BOVAY, op. cit. p. 414). Les mesures provisionnelles ne sont ainsi légitimes, aux termes de la loi, que si elles s'avèrent nécessaires au maintien de l'état de fait ou à la sauvegarde des intérêts compromis. En revanche, elles ne sauraient, en principe tout au moins, anticiper sur le jugement définitive, ni équivaloir à une condamnation provisoire sur le fond, ni non plus aboutir abusivement à rendre d'emblée illusoire le procès au fond (ATF 119 V 505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w:t>
      </w:r>
    </w:p>
    <w:p>
      <w:r>
        <w:t>A/4155/2007 - 7/8 - En l'espèce, la question de savoir si la recourante à droit ou non à une rente entière d'invalidité et, le cas échéant, à partir de quel moment, relève indiscutablement du droit de fond. Partant, la requête en mesures provisionnelles, mal fondée, est rejetée.</w:t>
      </w:r>
    </w:p>
    <w:p>
      <w:r>
        <w:t>A/4155/2007 - 8/8 -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