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ATAS/1284/2020 vom 22. Dezember 2020</w:t>
      </w:r>
    </w:p>
    <w:p>
      <w:r>
        <w:t>GE Cour de justice, 2020-12-22, FR</w:t>
      </w:r>
    </w:p>
    <w:p>
      <w:r>
        <w:rPr>
          <w:b/>
        </w:rPr>
        <w:t xml:space="preserve">Quelle: </w:t>
      </w:r>
      <w:r>
        <w:t>https://mcp.opencaselaw.ch/entscheid/ge_gerichte_ATAS_1284_2020</w:t>
      </w:r>
    </w:p>
    <w:p>
      <w:r>
        <w:t>FR: GE_GERICHTE ATAS/1284/2020 du 22 décembre 2020</w:t>
      </w:r>
    </w:p>
    <w:p>
      <w:r>
        <w:t>IT: GE_GERICHTE ATAS/1284/2020 del 22 dicembre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A/3818/2019 - 15/29 -</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point de savoir si l'intimé était fondé à rejeter la troisième demande de prestations de la recourante. Concrètement, le litige concerne l'existence d'une aggravation de l'état de santé de la recourante entre novembre 2015 (rejet de la deuxième demande de prestations) et septembre 2019 (rejet de la troisième demande de prestations).</w:t>
      </w:r>
    </w:p>
    <w:p>
      <w:r>
        <w:rPr>
          <w:b/>
        </w:rPr>
        <w:t>E. 4</w:t>
      </w:r>
    </w:p>
    <w:p>
      <w:r>
        <w:t>a. Lorsque la rente d'invalidité a été refusée parce que le degré d'invalidité est insuffisant, la nouvelle demande ne peut être examinée que si l'assuré rend plausible que son invalidité s'est modifiée de manière à influencer ses droits (art. 87 al. 2 et 3 du règlement sur l'assurance-invalidité du 17 janvier 1961 [RAI ; RS 831.201]).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t>A/3818/2019 - 16/29 - c.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4.3</w:t>
      </w:r>
    </w:p>
    <w:p>
      <w:r>
        <w:t>; arrêt du Tribunal fédéral 9C_618/2019 du 16 mars 2020 consid. 8.2).</w:t>
      </w:r>
    </w:p>
    <w:p>
      <w:r>
        <w:t>A/3818/2019 - 22/29 -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w:t>
      </w:r>
    </w:p>
    <w:p>
      <w:r>
        <w:t>A/3818/2019 - 17/29 -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 ATAS/1125/2017 du 11 décembre 2017 consid. 8). La tâche d’éduquer et soigner de jeunes enfants peut certes expliquer qu’un des parents réduise son taux d’activité professionnelle, dans la perspective de le rehausser une fois que les enfants n’auraient plus le même besoin de présence et disponibilité de leurs parents à domicile. Aussi le fait que les enfants atteignent, par l’écoulement du temps, un certain degré d’autonomie constitue-t-il un indice que le parent ayant réduit son taux d’activité professionnelle, voire ayant renoncé à exercer une activité professionnelle, en (re)prendrait une ou augmenterait son taux d’activité s’il n’était devenu invalide dans l’intervalle. Il ne suffit cependant pas à lui seul à rendre vraisemblable une telle (re)prise d’activité ou augmentation de taux d’activité. Il ne s’agit pas d’un fait d’expérience si ancré dans les mœurs qu’une simple déclaration d’intention associée à l’avancement en âge des enfants dispenserait de la nécessité d’en étayer la vraisemblance par des indices extérieurs (arrêt du Tribunal fédéral des assurances I 693/06 du 20 décembre 2006 consid. 4.1).</w:t>
      </w:r>
    </w:p>
    <w:p>
      <w:r>
        <w:rPr>
          <w:b/>
        </w:rPr>
        <w:t>E. 7</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t>A/3818/2019 - 18/29 - b. Selon la Classification statistique internationale des Maladies et Problème de Santé connexes (CIM-10), le diagnostic de majoration de symptômes physiques pour des raisons psychologiques F68.0 est retenu en présence de «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(Pierre-André FAUCHÈRE, Douleur somatoforme, 2007, p. 141 s.). Selon la jurisprudence du Tribunal fédéral applicable jusqu'en 2018, les assurances sociales ne couvraient pas les conséquences de la névrose de revendication (ou de compensation) classée sous chiffre F68.0 de la CIM-10 (ATF 104 V 31 consid. 2b ; arrêt du Tribunal fédéral I 189/01 du 11 septembre 2001 consid. 4b ; voir également arrêt du Tribunal fédéral des assurances C-2768/2008 du 13 octobre 2009 consid. 8.1). Pour le Tribunal fédéral, l'assuré atteint de ce type de névrose ne parvenait pas à sortir du rôle d'invalide, qu'il justifiait par une infirmité inexistante ou dont il exagérait les effets. Ses mobiles - inconscients - pouvaient être, par exemple, le désir de s'enrichir par des prestations d'assurance, de porter préjudice à une société qu'il rejetait, de laisser libre cours à sa paresse, de se venger de l'auteur de l'accident, etc. Contrairement au simulateur, qui se faisait une juste représentation de la réalité, il en était venu à croire à ses maux imaginaires et à les ressentir vraiment. Il s'agissait donc bien d'une véritable névrose, mais dont l'assurance sociale ne pouvait, sous peine de provoquer des abus insupportables, couvrir les conséquences (ATF 104 V 31 consid. 2b). c/aa.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w:t>
      </w:r>
    </w:p>
    <w:p>
      <w:r>
        <w:t>A/3818/2019 - 19/29 - c/bb Enfin, en cas de syndrome douloureux somatoforme persistant ou trouble somatoforme douloureux persistant (F45.5 CIM-10),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c/cc.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d.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t>Par ailleurs,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w:t>
      </w:r>
    </w:p>
    <w:p>
      <w:r>
        <w:t>A/3818/2019 - 20/29 -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w:t>
      </w:r>
    </w:p>
    <w:p>
      <w:r>
        <w:rPr>
          <w:b/>
        </w:rPr>
        <w:t>E. 8</w:t>
      </w:r>
    </w:p>
    <w:p>
      <w:r>
        <w:t>a. Les troubles d’ordre psychosomatique ou syndromes sans pathogénèse ni étiologie claire et sans constat de déficit organique, tels que la fibromyalgie ou le trouble somatoforme douloureux, sont difficilement objectivables et il n’est pas évident d’identifier ce qui est raisonnablement exigible de l’assuré et s’il a les ressources nécessaires pour fournir l’effort requis.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w:t>
      </w:r>
    </w:p>
    <w:p>
      <w:r>
        <w:t>A/3818/2019 - 21/29 -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Les principes jurisprudentiels développés en matière de troubles somatoformes douloureux sont également applicables à la fibromyalgie (ATF 132 V 65 consid. 4.1),</w:t>
      </w:r>
    </w:p>
    <w:p>
      <w:r>
        <w:rPr>
          <w:b/>
        </w:rPr>
        <w:t>E. 9</w:t>
      </w:r>
    </w:p>
    <w:p>
      <w:r>
        <w:t>a.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w:t>
      </w:r>
    </w:p>
    <w:p>
      <w:r>
        <w:rPr>
          <w:b/>
        </w:rPr>
        <w:t>E. 10</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A/3818/2019 - 23/29 -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w:t>
      </w:r>
    </w:p>
    <w:p>
      <w:r>
        <w:t>A/3818/2019 - 24/29 -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a. En l’espèce, la recourante a déposé trois demandes de prestations :  Le 11 juin 2008, la recourante a saisi l’intimé d’une première demande. L’examen effectué par le SMR a montré des lombalgies chroniques persistantes (M51.3) dans le cadre de troubles dégénératifs étagés (discopathies L3-L4 et L4-L5 et arthrose inter-apophysaire postérieure aux mêmes niveaux), ainsi que d’autres atteintes non incapacitantes. Les atteintes au niveau de la colonne lombaire entraînaient un certain nombre de limitations fonctionnelles mais la capacité de travail était entière dans une activité adaptée. L’enquête ménagère a, pour sa part, montré une invalidité de 23%. Par décision du 21 septembre 2009, l’OAI a rappelé que la recourante, dont le statut était mixte (50% active – 50% ménage), était capable de travailler dans une activité adaptée et que l’enquête ménagère avait montré une invalidité de 23% dans les travaux habituels. Dans ces conditions, l’invalidité globale, calculée conformément à la méthode mixte, était de 12%, ce qui était insuffisant pour donner droit à une rente.</w:t>
      </w:r>
    </w:p>
    <w:p>
      <w:r>
        <w:t>A/3818/2019 - 25/29 - Les recours interjetés contre cette décision ont été rejetés tant par la chambre de céans que par le Tribunal fédéral.  Le 24 octobre 2013, la recourante a saisi l’OAI d’une deuxième demande de prestations. L’examen réalisé par les Drs I______ et J______, médecins auprès du SMR, a toujours montré des lombalgies chroniques non déficitaires dans le cadre d’une discopathie protrusive L2-L3 et L3-L4, d’une arthrose légère des articulations postérieures (M54.5) ainsi que des atteintes non incapacitantes (gonalgies bilatérales dans le cadre d’une chondropathie de grade II du compartiment fémoro-tibial interne et d’une dégénérescence méniscale interne à droite et à gauche ; épisode récurrent de répression réactionnelle en rémission complète). La capacité de travail était entière dans une activité adaptée aux limitations fonctionnelles évoquées par les médecins du SMR. Par décision du 30 novembre 2015, l’OAI a rejeté la demande de prestations du 24 octobre 2013, au motif que l’état de santé de la recourante ne s’était pas détérioré de manière notable, cette dernière pouvant toujours travailler à plein temps et rendement dans une activité adaptée.  Le 25 octobre 2016, la recourante a saisi l’OAI d’une troisième demande. L’expertise administrative confiée aux médecins du CEMED a mis en évidence une discopathie lombaire basse étagée, une atteinte débutante dégénérative des genoux, un trouble affectif bipolaire, un épisode actuel de dépression légère ou moyenne, une hypertension artérielle, un diabète de type II et un syndrome d’apnées du sommeil appareillé. La capacité de travail était nulle dans l’activité habituelle et entière dans une activité adaptée à compter du 18 juillet 2017. L’OAI a partiellement donné suite à cette troisième demande, en ce sens qu’il a mis la recourante au bénéfice d’une rente limitée dans le temps, pour la période du 1er avril au 30 septembre 2017, en raison d’un trouble psychique incapacitant jusqu’au mois de juillet 2017. b. La recourante conclut à une modification de la situation depuis le mois de novembre 2015 sur deux aspects : elle devait désormais être considérée comme une personne active et son état de santé psychique était toujours incapacitant. b/aa. S’agissant tout d’abord du statut, la recourante prétend que sans atteinte à la santé, elle aurait travaillé à 100%, ses enfants ayant quitté le domicile familial et son mari ne travaillant pas. Pour sa part, l’intimé considère qu’on ne peut retenir que la recourante aurait augmenté son temps de travail en l’absence de démarches dans ce sens. Force est de constater qu’au jour de la décision querellée, la recourante, analphabète et sans formation ou qualifications professionnelles, était âgée de 52 ans. Contrairement à la situation qui prévalait lors de la première enquête</w:t>
      </w:r>
    </w:p>
    <w:p>
      <w:r>
        <w:t>A/3818/2019 - 26/29 - ménagère, en 2009, son époux avait perdu son travail et les revenus du couple provenaient désormais de l’hospice général. Même s’il n’est en temps normal pas dans l’ordre des choses qu’une personne de 52 ans, inactive depuis plusieurs années, augmente son activité professionnelle à 100% simplement suite au départ de ses enfants, la situation est autre lorsque, comme dans le cas d’espèce, le conjoint est sans emploi et que le couple est aidé financièrement par l’hospice général. Dans un tel cas, il parait en effet plausible que sans son atteinte à la santé, la recourante aurait augmenté son temps de travail, à un taux vraisemblablement compris entre 80% et 100%. Cette question peut toutefois être laissée ouverte en l’état, étant donné que le recours doit quoi qu’il en soit être admis pour d’autres motifs. b/bb. Afin de déterminer si l’état de santé de la recourante s’est aggravé depuis 2015, l’OAI a mandaté le CEMEDEX pour expertise. Les médecins de cet organisme ont établi leur rapport en date du 4 janvier 2019. Il convient donc de se prononcer sur la valeur probante dudit rapport et de ses annexes. Force est de constater que les rapports précités remplissent prima facie, sur le plan formel, la majorité des exigences auxquelles la jurisprudence soumet la valeur probante de tels documents. En effet, ils contiennent le résumé du dossier, les indications subjectives de la recourante, des observations cliniques, ainsi qu'une discussion générale du cas. Divers reproches peuvent toutefois être formulés à l’encontre de ces rapports. - En premier lieu, les diagnostics de fibromyalgie et de douleur somatoforme ont été évoqués à plusieurs reprises par les médecins traitants (cf. rapport de la Dresse K______ du 27 janvier 2017, rapport du début du mois de février de la Dresse D______, qui a indiqué que les 18 triggers points étaient positifs et rapport de la Dresse D______ du 4 juillet 2017). Pourtant, ni l’expert- rhumatologue ni l’expert-psychiatre ne semblent avoir pris en considération ces diagnostics. Si le Dr O______ a très brièvement évoqué le syndrome douloureux somatoforme, en expliquant qu’il rejoignait les constatations du rapport du 14 septembre 2015 sur le sujet, sans autres précisions, le Dr P______ n’a pas testé les 18 triggers points. - Ensuite, le Dr P______ n’a à aucun moment motivé le diagnostic de trouble affectif bipolaire retenu. Ce diagnostic étant posé pour la première fois dans l’expertise du CEMED alors que la Dresse I______ et la Dresse K______ ont toujours évoqué un trouble dépressif récurrent, une discussion sur les diagnostics en question s’imposait. En effet, selon la sous-catégorie F33 de la CIM-10, le trouble dépressif récurrent est notamment caractérisé par la présence, dans le passé, d’au moins un épisode dépressif, léger, moyen ou sévère, ayant persisté au moins deux semaines et séparé de l’épisode actuel par une période d’au moins deux mois sans perturbation significative de l’humeur. En d’autres termes, il est fait référence au trouble dépressif lorsque plusieurs</w:t>
      </w:r>
    </w:p>
    <w:p>
      <w:r>
        <w:t>A/3818/2019 - 27/29 - épisodes dépressifs surviennent. Ce trouble comporte ainsi une certaine récurrence des symptômes. Dans ces circonstances, on peine à comprendre, sans explications, pour quels motifs le trouble dépressif diagnostiqué chez la recourante tant par la Dresse I______ que par la Dresse K______ se serait transformé en un trouble affectif bipolaire. Cela étant, dans tous les cas, le Tribunal fédéral a considéré que les effets contraignants d'une maladie psychique (gravité, risque de rechute) doivent être pris en compte lors de l'appréciation de la capacité résiduelle de travail de l'assuré (arrêt du Tribunal fédéral 9C_953/2008 du 5 octobre 2009). Il s'agissait en l'occurrence d'un assuré souffrant d'une maladie mentale cyclique (trouble bipolaire de type I et syndrome de dépendance à l'alcool et au THC), ce qui lui permettait, dans les périodes d'amélioration, de travailler dans des postes sans responsabilité, n'exigeant pas de continuité, soit des travaux occasionnels. Dès lors que la maladie de l'assuré était insuffisamment sous contrôle, il ne pouvait travailler dans un emploi où la présence continue pendant toute l'année était exigée, parce qu'il devait s'attendre à au moins deux rechutes par année. Le Tribunal fédéral a constaté, dans ce contexte, que les effets contraignants de la maladie psychique du recourant (gravité, risque de rechutes) avaient été pris en compte lors de l'appréciation de sa capacité résiduelle de travail, fixée à 50% dans une activité moins exigeante que son activité habituelle, taux qui n'était pas contesté par les parties. Dans un arrêt du 3 novembre 2015 (9C_153/2015), le Tribunal fédéral a encore jugé, s'agissant d'une personne souffrant d'un rhumatisme psoriasique, que lorsqu'il s'agissait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L'expert doit se prononcer sur l'évolution chronologique de la pathologie et apprécier, dans une perspective à long terme, le retentissement global que celle-ci a sur la capacité de travail du recourant. Par conséquent, en présence d’un trouble récurrent, qu’il s’agisse d’un trouble dépressif récurrent ou d’un trouble bipolaire, il appartient aux experts de prendre en considération l’évolution passée et future et d’apprécier la capacité de travail de la recourante en prenant en considération cette évolution présumée. Or, cette démarche n’a, de toute évidence, pas été effectuée par le Dr P______. Par ailleurs, il ressort du rapport de la Dresse K______ du 29 août 2019 que la situation de la recourante s’est à nouveau aggravée sur le plan psychique depuis avril ou mai 2019, soit après l’examen par les experts mais avant la décision</w:t>
      </w:r>
    </w:p>
    <w:p>
      <w:r>
        <w:t>A/3818/2019 - 28/29 - querellée. Or, cet aspect n’a pas été investigué, l’intimé n’ayant même pas jugé nécessaire de soumettre ce rapport à son SMR. - En troisième lieu, les experts ont mentionné à plusieurs reprises le fait qu’il y avait une importante discordance entre les déclarations de la recourante et les constatations cliniques et radiologiques entre, voire une majoration lors de l’examen clinique. Pourtant, l’expert psychiatre n’a jamais envisagé l’éventualité d’une majoration des symptômes physiques pour des motifs psychiques, laquelle est référencée sous F68. Compte tenu de ce qui précède, le rapport d’expertise du 4 janvier 2019 comporte des irrégularités patentes, qui ne permettent pas de lui reconnaitre une pleine valeur probante. Vu le caractère lacunaire du rapport et la mention d’une aggravation antérieurement à la décision (cf. rapport de la Dresse K______ du 29 août 2019), il y a lieu de renvoyer la cause à l’intimé, afin de garantir le respect du principe du double degré de juridiction. Les experts mandatés par l’intimée devront se prononcer sur la présence – ou l’absence – d’une fibromyalgie ou d’un trouble somatoforme douloureux et, en cas de diagnostic dans ce sens, ils devront se prononcer sur la capacité de travail eu égard aux critères énoncés par la jurisprudence. Par ailleurs, ils devront également justifier le diagnostic de trouble affectif bipolaire et s’interroger sur celui de majoration des symptômes physiques pour des motifs psychiques ainsi que sur tout autre diagnsotic qui pourrait entrer en considération.</w:t>
      </w:r>
    </w:p>
    <w:p>
      <w:r>
        <w:rPr>
          <w:b/>
        </w:rPr>
        <w:t>E. 13</w:t>
      </w:r>
    </w:p>
    <w:p>
      <w:r>
        <w:t>Au vu de ce qui précède, le recours sera admis et la décision du 10 septembre 2019 sera annulée. La recourante, bien qu’obtenant gain de cause, n’est pas représentée, de sorte qu’aucune indemnité ne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w:t>
      </w:r>
    </w:p>
    <w:p>
      <w:r>
        <w:t>A/3818/2019 - 29/29 -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