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ATAS/1284/2012 vom 25. Oktober 2012</w:t>
      </w:r>
    </w:p>
    <w:p>
      <w:r>
        <w:t>GE Cour de justice, 2012-10-25, FR</w:t>
      </w:r>
    </w:p>
    <w:p>
      <w:r>
        <w:rPr>
          <w:b/>
        </w:rPr>
        <w:t xml:space="preserve">Quelle: </w:t>
      </w:r>
      <w:r>
        <w:t>https://mcp.opencaselaw.ch/entscheid/ge_gerichte_ATAS_1284_2012</w:t>
      </w:r>
    </w:p>
    <w:p>
      <w:r>
        <w:t>FR: GE_GERICHTE ATAS/1284/2012 du 25 octobre 2012</w:t>
      </w:r>
    </w:p>
    <w:p>
      <w:r>
        <w:t>IT: GE_GERICHTE ATAS/1284/2012 del 25 ottobre 2012</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A/2529/2012 - 4/6 - La compétence de la Cour de céans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recours est recevable (art. 60 LPGA).</w:t>
      </w:r>
    </w:p>
    <w:p>
      <w:r>
        <w:rPr>
          <w:b/>
        </w:rPr>
        <w:t>E. 4</w:t>
      </w:r>
    </w:p>
    <w:p>
      <w:r>
        <w:t>Le litige porte sur le bien-fondé de la suspension de quatre jours du droit à l’indemnité du recourant prononcée à son encontre au motif qu’il n’a pas remis ses recherches d'emploi du mois d’avril 2012 dans le délai légal.</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6</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w:t>
      </w:r>
    </w:p>
    <w:p>
      <w:r>
        <w:t>A/2529/2012 - 5/6 - b) Selon les directives du SECO concernant les indemnités, modifiées suite à l'entrée en vigueur des modifications de la LACI au 1er avril 2011, la suspension infligée en l’absence de recherches durant la période de contrôle ou en cas de remise tardive des recherches d'emploi pour la 1ère fois est de 5 à 9 jours (030- Bulletin LACI, D72).</w:t>
      </w:r>
    </w:p>
    <w:p>
      <w:r>
        <w:rPr>
          <w:b/>
        </w:rPr>
        <w:t>E. 7</w:t>
      </w:r>
    </w:p>
    <w:p>
      <w:r>
        <w:t>Dans le cas d'espèce, il n’est pas contesté que l’assuré n’a pas remis ses recherches d'emploi du mois d’avril 2012 en temps utile. Il n’est pas contesté non plus que, du 1er au 14 avril 2012, l’assuré a néanmoins effectué des recherches dont ni la quantité ni la qualité ne sont mises en question. La Cour de céans considère qu’au vu des circonstances, on ne saurait reprocher la moindre faute au recourant. En effet, ses allégations, selon lesquelles il a compris qu’il était dispensé de fournir la preuve de toutes les recherches effectuées en avril, ont été corroborées par sa conseillère. Cette dernière a admis qu’au cours du bref entretien téléphonique qu’elle a eu avec l’assuré, elle a indiqué à ce dernier qu’il était dispensé de recherches, sans préciser qu’il devait néanmoins produire la preuve de celles déjà effectuées. Dans la mesure où il n’est pas contesté que les recherches en question ont bel et bien été faites, il relèverait du formalisme excessif que de reprocher à présent à l’assuré d’avoir tiré la conclusion logique qu’il n’avait donc pas à produire le formulaire relatif au mois en question. Ainsi que l’a fait remarquer l’intimé, l’assuré a par ailleurs effectué toutes les démarches utiles pour l’informer de sa situation et de son état de santé en avril 2012. S’il a donc renoncé à produire le formulaire en question, c’est donc bel et bien qu’il pensait de bonne foi en être dispensé. Les conditions de la protection de la bonne foi du recourant sont d’ailleurs réunies puisqu’en l’espèce, l'administration a créé une apparence de droit, sur laquelle le recourant s’est fondé pour adopter un comportement qu'il pensait adéquat. Ainsi, lors de l’entretien téléphonique mentionné plus tôt, sa conseillère a omis de lui préciser qu’il était tenu de produire le résultat des recherches déjà effectuées, de sorte que le recourant y a délibérément renoncé alors même qu’il avait rempli ses obligations en termes de recherches et qu’il aurait pu sans problème poster son formulaire. Eu égard aux difficultés évidentes que l’intéressé rencontre avec la langue française, il lui était qui plus est impossible de se rendre compte que les directives de sa conseillère contredisaient les informations qu’il avait pu recevoir auparavant, de manière d’ailleurs toute générale. Eu égard aux considérations qui précèdent, le recours est donc admis et la sanction annulée.</w:t>
      </w:r>
    </w:p>
    <w:p>
      <w:r>
        <w:t>A/2529/2012 - 6/6 -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