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ATAS/1284/2010 vom 9. Dezember 2010</w:t>
      </w:r>
    </w:p>
    <w:p>
      <w:r>
        <w:t>GE Cour de justice, 2010-12-09, FR</w:t>
      </w:r>
    </w:p>
    <w:p>
      <w:r>
        <w:rPr>
          <w:b/>
        </w:rPr>
        <w:t xml:space="preserve">Quelle: </w:t>
      </w:r>
      <w:r>
        <w:t>https://mcp.opencaselaw.ch/entscheid/ge_gerichte_ATAS_1284_2010</w:t>
      </w:r>
    </w:p>
    <w:p>
      <w:r>
        <w:t>FR: GE_GERICHTE ATAS/1284/2010 du 9 décembre 2010</w:t>
      </w:r>
    </w:p>
    <w:p>
      <w:r>
        <w:t>IT: GE_GERICHTE ATAS/1284/2010 del 9 dicembre 2010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En conclusion, la décision sur opposition du 6 février 2009 de la SUVA sera confirmée et le recours rejeté. Le recourant qui succombe, supportera les frais de justice fixés à 200 fr.</w:t>
      </w:r>
    </w:p>
    <w:p>
      <w:r>
        <w:rPr>
          <w:b/>
        </w:rPr>
        <w:t>E. 19</w:t>
      </w:r>
    </w:p>
    <w:p>
      <w:r>
        <w:t>Enfin, il sied de rappeler que, constatant que l’assuré ne se soumettait pas à une mesure de réadaptation exigible et ne s’était dès lors pas rendu à la Clinique Romande de Sion, comme le demandait la SUVA, cette dernière a mis, par pli recommandé du 2 avril 2009, un terme à toutes ses prestations au 31 mars 2009, décision qui, selon les informations de la SUVA fournies lors de l’audience du 8 juillet 2010, n’a pas fait, en l’état, l’objet d’un recours. Toutefois, le Tribunal de céans qui a pris acte de l’accord de l’intimée de prendre en compte la lettre du recourant du 27 août 2009, adressée au Tribunal des assurances sociales, comme une opposition à la décision du 2 avril 2009 et de rendre une décision sur opposition, invite la SUVA à agir en conséquence.</w:t>
      </w:r>
    </w:p>
    <w:p>
      <w:r>
        <w:t>A/850/2009 - 12/12 -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