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ATAS/1283/2020 vom 22. Dezember 2020</w:t>
      </w:r>
    </w:p>
    <w:p>
      <w:r>
        <w:t>GE Cour de justice, 2020-12-22, FR</w:t>
      </w:r>
    </w:p>
    <w:p>
      <w:r>
        <w:rPr>
          <w:b/>
        </w:rPr>
        <w:t xml:space="preserve">Quelle: </w:t>
      </w:r>
      <w:r>
        <w:t>https://mcp.opencaselaw.ch/entscheid/ge_gerichte_ATAS_1283_2020</w:t>
      </w:r>
    </w:p>
    <w:p>
      <w:r>
        <w:t>FR: GE_GERICHTE ATAS/1283/2020 du 22 décembre 2020</w:t>
      </w:r>
    </w:p>
    <w:p>
      <w:r>
        <w:t>IT: GE_GERICHTE ATAS/1283/2020 del 22 dicembre 2020</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b. L'employeur du recourant, lequel est domicilié en France, est situé dans le canton de Genève, de sorte que la chambre de céans est compétente à raison de la matière et du lieu pour juger du cas d'espèce.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La modification du 25 septembre 2015 de la LAA est entrée en vigueur le 1er janvier 2017.</w:t>
      </w:r>
    </w:p>
    <w:p>
      <w:r>
        <w:t>A/3619/2019 - 16/27 - Dans la mesure où l'accident assuré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Le délai de recours est de trente jours (art. 56 LPGA ; art. 62 al. 1 de la loi sur la procédure administrative du 12 septembre 1985 [LPA - E 5 10]). Interjeté dans la forme et le délai prévus par la loi, le recours est recevable.</w:t>
      </w:r>
    </w:p>
    <w:p>
      <w:r>
        <w:rPr>
          <w:b/>
        </w:rPr>
        <w:t>E. 5</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Dans sa décision litigieuse du 30 août 2019, laquelle circonscrit l'objet de la contestation, l’intimée a considéré que l’état de santé était stabilisé au 31 août 2018, que l’intéressé disposait à nouveau dès cette date d’une pleine et entière capacité de travail dans une activité adaptée aux limitations fonctionnelles, et que les séquelles accidentelles ne s’étaient pas aggravées depuis sa précédente décision entrée en force, de sorte qu’elle pouvait confirmer l’exigibilité et le degré d’invalidité alors retenus. Enfin, elle a statué sur le traitement médical qui restait à sa charge. Compte tenu des conclusions du recourant, le litige porte donc sur son droit à des indemnités journalières au-delà du 31 août 2018, cas échéant, sur son droit à une rente d’invalidité. En revanche, dès lors qu’il demande la confirmation de la prise en charge des soins telle que mentionnée dans la décision querellée, ce point n’est pas litigieux.</w:t>
      </w:r>
    </w:p>
    <w:p>
      <w:r>
        <w:rPr>
          <w:b/>
        </w:rPr>
        <w:t>E. 6</w:t>
      </w:r>
    </w:p>
    <w:p>
      <w:r>
        <w:t>a. Selon l'art. 6 al. 1 LAA, les prestations d'assurance sont allouées en cas d'accident professionnel, d'accident non professionnel et de maladie professionnelle.</w:t>
      </w:r>
    </w:p>
    <w:p>
      <w:r>
        <w:t>A/3619/2019 - 17/27 -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que, 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w:t>
      </w:r>
    </w:p>
    <w:p>
      <w:r>
        <w:t>A/3619/2019 - 18/27 -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7</w:t>
      </w:r>
    </w:p>
    <w:p>
      <w:r>
        <w:t>a. Aux termes de l'art. 10 al. 1 LAA, l'assuré a droit au traitement médical approprié des lésions résultant de l'accident. Conformément à l’art. 16 LAA, s'il est totalement ou partiellement incapable de travailler (art. 6 LPGA) à la suite de l'accident, il a droit à une indemnité journalière (al. 1). Le droit à l'indemnité prend naissance le troisième jour qui suit celui de l'accident et s'éteint dès que l'assuré a recouvré sa pleine capacité de travail, dès qu'une rente est versée ou dès que l'assuré décède (al. 2). L’art. 18 al. 1 LAA dispose que si l'assuré est invalide (art. 8 LPGA) à 10% au moins par suite de l'accident, il a droit à une rente d'invalidité.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Il faut en principe que l'état de l'assuré puisse être considéré comme stable d'un point de vue médical (Frésard / Moser-Szeless, L'assurance-accidents obligatoire, in: Schweizerisches Bundesverwaltungsrecht [SBVR], 2ème éd., n° 153 p. 895). b. Ainsi, le droit au traitement médical et aux indemnités journalières cesse dès la naissance du droit à la rente au sens de l'art. 19 al. 1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et que des améliorations mineures ne suffisent ainsi pas ; cette question doit être examinée de manière prospective (arrêt du Tribunal fédéral 8C_484/2019 du 3 août 2020 consid. 3 et les références). Ni la simple possibilité d'un résultat positif d'un autre traitement médical, ni un progrès thérapeutique seulement insignifiant escompté d'autres mesures thérapeutiques comme une cure thermale ne donnent droit à leur mise en œuvre. Il n'y a pas d'amélioration sensible de l'état de santé quand la mesure thérapeutique ne fait que soulager momentanément des douleurs occasionnées par un état par ailleurs stationnaire (RAMA 2005 n° U 557 p. 388, U 244/04 consid. 3.1 ; arrêt du Tribunal fédéral 8C_179/2014 du 16 mars 2015 consid. 4.1).</w:t>
      </w:r>
    </w:p>
    <w:p>
      <w:r>
        <w:t>A/3619/2019 - 19/27 -</w:t>
      </w:r>
    </w:p>
    <w:p>
      <w:r>
        <w:rPr>
          <w:b/>
        </w:rPr>
        <w:t>E. 8</w:t>
      </w:r>
    </w:p>
    <w:p>
      <w:r>
        <w:t>a. Selon l’art. 11 de l’ordonnance sur l'assurance-accidents du 20 décembre 1982 (OLAA - RS 832.202), les prestations d'assurance sont également allouées en cas de rechutes et de séquelles tardives. b. Conformément à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consid.1.1).</w:t>
      </w:r>
    </w:p>
    <w:p>
      <w:r>
        <w:rPr>
          <w:b/>
        </w:rPr>
        <w:t>E. 9</w:t>
      </w:r>
    </w:p>
    <w:p>
      <w:r>
        <w:t>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(cf. arrêt du Tribunal fédéral 8C_501/2014 du 5 août 2015 consid. 4.3). La rechute et les séquelles tardives constituent des motifs de révision (ATF 127 V 456 consid. 4b ; ATF 118 V 293 consid. 2d), même si elles font suite à une décision de refus de rente (arrêt du Tribunal fédéral 8C_148/2018 du 6 juillet 2018 consid. 6.2). Lorsque le droit aux prestations a été nié par le passé, un nouvel examen illimité ne peut pas être effectué à ce titre. Il faut bien plutôt partir de la décision entrée en force et l'admission d'une rechute ou de séquelles tardives suppose une modification de l'état de fait déterminant sous l'angle du droit à la prestation (arrêt du Tribunal fédéral 8C_148/2018 du 6 juillet 2018 consid. 6.2 ; arrêt du Tribunal fédéral des assurances U 55/07 du 13 novembre 2007 consid. 4.1).</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A/3619/2019 - 20/27 -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11</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w:t>
      </w:r>
    </w:p>
    <w:p>
      <w:r>
        <w:t>A/3619/2019 - 21/27 -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14</w:t>
      </w:r>
    </w:p>
    <w:p>
      <w:r>
        <w:t>a. En l’espèce, la chambre de céans observe au préalable que les faits de la cause sont relativement complexes, avec de nombreuses demandes de prestations du recourant concernant les mêmes troubles et de multiples prises de position de la part de l’intimée. Elle constate également une confusion qui résulte de l’emploi parfois inadéquat du terme « rechute », ainsi que des incertitudes quant à l’argumentation de l’intimée, dont certaines décisions sont peu motivées. b. Elle rappellera donc brièvement que, par décision du 22 décembre 2015 entrée en force, l’intimée a nié le droit du recourant à une rente d’invalidité suite à l’accident du 31 juillet 2014. Elle a en effet considéré que l’intéressé était apte à travailler à temps complet dans une activité adaptée et que sa perte de gain, fixée à 5.55% après comparaison des revenus avec et sans invalidité, était insuffisante pour ouvrir le droit à une rente. Suite à l’annonce d’une « rechute chez lui » le 12 mai 2016, l’intimée a traité le cas comme une rechute au sens légal, exclu toute aggravation de l’état de santé et maintenu l’exigibilité précédemment définie, alors que le recourant a, semble-t-il, voulu signaler un nouvel évènement accidentel ayant entrainé de nouvelles lésions.</w:t>
      </w:r>
    </w:p>
    <w:p>
      <w:r>
        <w:t>A/3619/2019 - 22/27 - Cela étant, cette question a fait l’objet d’une décision le 3 juin 2016 qui a acquis force de chose décidée, l’opposition du recourant ayant été déclarée irrecevable pour cause de tardiveté, par décision sur opposition du 22 juillet 2016 non contestée. Le recourant a de nouveau sollicité des prestations au mois d’avril 2017, dans le cadre de l’intervention préconisée par le Dr K______. L’intimée a statué par décision du 13 septembre 2017, confirmée sur opposition du 6 octobre 2017, et admis la prise en charge de l’opération au titre de rechute, mais refusé le versement de toute prestation tant et aussi longtemps que le recourant n’était pas d’accord de se soumettre au geste chirurgical. L’admission d’une « rechute » est surprenante puisque la lésion opérée par le Dr K______ existait déjà lors du prononcé de la décision du 22 décembre 2015 et qu’une intervention avait d’ailleurs été évoquée lors du séjour à la CRR. Ainsi, les troubles pour lesquels l’intimée a versé des prestations en 2018 étaient antérieurs à la clôture du cas en 2015 et l’atteinte de l’épaule gauche n’était alors pas guérie. Par courrier du 7 août 2018, l’intimée a informé le recourant qu’elle considérait que son cas était stabilisé et que son droit aux indemnités journalières prendrait fin au 31 août 2018. Elle n’a toutefois pas rendu de décision formelle. Le recourant a rempli un formulaire de rechute le 1er avril 2019 et l’intimée a refusé de prester, par courrier du 12 avril 2019, au motif que les séquelles de l’accident ne s’étaient pas aggravées, de sorte qu’elle maintenait les termes de sa décision sur opposition de 2015. L’intéressé a alors requis le prononcé d’une décision formelle et l’intimée a statué le 19 juin 2019. Elle a rappelé l’annonce d’une rechute le 1er avril 2019, sans se référer expressément aux droits de l’intéressé à des indemnités journalières et à une rente. Elle a motivé succinctement son refus de prestations par l’absence de lien de causalité entre l’accident du 31 juillet 2014 et les troubles à l’épaule et au genou. La question pourrait donc se poser de savoir si l’intimée s’est prononcée sur le droit aux prestations du recourant uniquement à partir du mois d’avril 2019, date de la dernière annonce de rechute, ou également dès le 1er septembre 2018, date de la fin du versement des indemnités journalières. Cela étant, dans sa décision sur opposition du 30 août 2019, laquelle détermine l’objet du litige, l’intimée a retenu que l’état de santé du recourant était stabilisé, sans aggravation par rapport à la situation qui prévalait en 2015. Elle en a conclu qu’elle était en droit de mettre un terme au versement des indemnités journalières au 31 août 2018 et de confirmer l’exigibilité et le degré d’invalide retenus dans sa décision sur opposition du 22 décembre 2015.</w:t>
      </w:r>
    </w:p>
    <w:p>
      <w:r>
        <w:rPr>
          <w:b/>
        </w:rPr>
        <w:t>E. 15</w:t>
      </w:r>
    </w:p>
    <w:p>
      <w:r>
        <w:t>La question litigieuse revient donc à examiner si l’intimée était fondée, sur la base des appréciations de son médecin-conseil des 24 juillet et 14 novembre 2018, 11 avril et 5 juin 2019, d’une part, à mettre un terme au versement des indemnités</w:t>
      </w:r>
    </w:p>
    <w:p>
      <w:r>
        <w:t>A/3619/2019 - 23/27 - journalières dès le 1er septembre 2018 et, d’autre part, à nier le droit du recourant à une rente d’invalidité.</w:t>
      </w:r>
    </w:p>
    <w:p>
      <w:r>
        <w:rPr>
          <w:b/>
        </w:rPr>
        <w:t>E. 16</w:t>
      </w:r>
    </w:p>
    <w:p>
      <w:r>
        <w:t>La chambre de céans constate que les rapports du Dr H______ ont été établis en pleine connaissance du dossier du recourant, dont les plaintes ont été prises en considération. Le médecin d’arrondissement a procédé à un examen médical personnel de l’intéressé et consigné le résultat de ses observations cliniques. Les points litigieux ont fait l’objet d’une étude approfondie et les avis divergents des médecins traitants ont tous été discutés. Les rapports du Dr H______ sont motivés et dénués de toute contradiction, de sorte qu’ils remplissent a priori les conditions pour se voir reconnaître une pleine valeur probante.</w:t>
      </w:r>
    </w:p>
    <w:p>
      <w:r>
        <w:rPr>
          <w:b/>
        </w:rPr>
        <w:t>E. 17</w:t>
      </w:r>
    </w:p>
    <w:p>
      <w:r>
        <w:t>janvier 2020 qu’il a affirmé que le cas n’était pas stabilisé et qu’il a évoqué un traitement sous forme de séances de physiothérapie. Il n’a toutefois apporté aucun argument permettant de penser que de telles mesures seraient nécessaires pour conserver la capacité résiduelle de gain de son patient. De plus, il est rappelé que le Dr K______ a clairement contesté que des séances de physiothérapie soient</w:t>
      </w:r>
    </w:p>
    <w:p>
      <w:r>
        <w:t>A/3619/2019 - 24/27 - susceptibles d’améliorer l’état de santé du recourant, lequel n’avait pas effectué à domicile les étirement et exercices qui lui avaient été montrés. c. Il appert donc que les rapports des médecins traitants ne contiennent pas le moindre élément de nature à remettre en cause les conclusions du Dr H______, basées sur les rapports du Dr K______, selon lesquelles l’état de santé du recourant était stabilisé au 1er septembre 2018.</w:t>
      </w:r>
    </w:p>
    <w:p>
      <w:r>
        <w:rPr>
          <w:b/>
        </w:rPr>
        <w:t>E. 18</w:t>
      </w:r>
    </w:p>
    <w:p>
      <w:r>
        <w:t>L’intimée était donc fondée à mettre fin au versement des indemnités journalières dès le 1er septembre 2018.</w:t>
      </w:r>
    </w:p>
    <w:p>
      <w:r>
        <w:rPr>
          <w:b/>
        </w:rPr>
        <w:t>E. 19</w:t>
      </w:r>
    </w:p>
    <w:p>
      <w:r>
        <w:t>a. En ce qui concerne le droit à la rente, il est rappelé que, par décision sur opposition du 22 décembre 2015 entrée en force, l’intimée avait considéré que les séquelles présentées par le recourant au niveau de son épaule gauche lui permettaient d’exercer, à temps complet et sans diminution de rendement, une activité n’impliquant pas le port répété de charge du côté gauche, des mouvements répétés en rotation de l’épaule gauche ou au-dessus de l’horizontale. Elle avait alors procédé au calcul précis de la perte de gain, en comparant les revenus de valide et d’invalide, et exclu le droit à une rente. Dans la décision litigieuse, l’intimée a retenu que l’état de santé du recourant ne s’était pas aggravé depuis lors, que les limitations fonctionnelles étaient similaires à celles précédemment retenues et que la capacité de travail était toujours entière dans une activité adaptée. b. Le recourant considère que les pièces du dossier attestent d’une aggravation de l’état de son épaule gauche. Il rappelle tout d’abord que ses troubles ont justifié l’opération de janvier 2018 et se réfère ensuite au rapport du Dr F______ du 11 juillet 2016, dans lequel le médecin traitant a noté que son patient présentait une fissure intra-tendineuse du sous-scapulaire qui n’existait pas lors de la décision initiale. Le recourant cite ensuite le rapport du Dr F______ du 8 mars 2019, qui attribue les douleurs résiduelles à une brèche transfixiante, ainsi que le rapport d’IRM du 22 octobre 2019, qui fait état d’une tendinopathie. La chambre de céans rappelle que la déchirure transfixiante du sus-épineux qui a justifié l’intervention du Dr K______ avait déjà été mise en exergue en 2015 (cf. rapport d’IRM du 23 mars 2015) et qu’une prise en charge chirurgicale avait d’ailleurs été discutée avant la clôture du cas (cf. rapport de la CRR du 27 mai 2015). Elle relève ensuite que le rapport d’arthroscanner du 24 octobre 2014 a conclu à une fissure du tendon du sous-scapulaire, de sorte que cette atteinte existait également déjà lors du prononcé de la décision de 2015. En ce qui concerne le rapport du Dr F______ du 8 mars 2019, son avis est basé sur les conclusions du rapport d’arthroscanner du mois d’octobre 2018, qui mentionne une brèche du tendon sus-épineux, une fissure du tendon infra-scapulaire et une fissuration du bourrelet glénoïdien. La chambre de céans rappelle toutefois</w:t>
      </w:r>
    </w:p>
    <w:p>
      <w:r>
        <w:t>A/3619/2019 - 25/27 - l’interprétation divergente du Dr K______ qui, après examen de l’arthroscanner du 15 octobre 2018, a confirmé la parfaite cicatrisation du tendon sur l’os et estimé que le résultat radiologique était excellent. Le chirurgien a expliqué que l’appréciation discordante du radiologue s’expliquait par le passage millimétrique du produit de contraste (cf. rapport du 7 novembre 2018). Ses conclusions ont par la suite été corroborées par de nouveaux examens puisque l’IRM du 22 octobre 2019 n’a révélé aucune anomalie du bourrelet glénoïdien, ni aucune fissure ou déchirure des tendons, en particulier du supra-épineux ou du sous-scapulaire. D’ailleurs, dans son dernier rapport du 17 janvier 2020, le Dr F______ n’a plus retenu de rupture transfixiante. Enfin, l’IRM du 22 octobre 2019 n’a révélé qu’une tendinopathie, alors que le recourant souffrait d’une rupture transfixiante du sus-épineux, qui a été opérée avec succès le 29 janvier 2018, ce qui parle plutôt en faveur d’une amélioration des atteintes. c. Quant aux limitations fonctionnelles et à l’évaluation de la capacité de travail, il est rappelé que le Dr H______ a constaté, lors de son examen final du 12 novembre 2018, des limitations et des amplitudes comparables à celles qui prévalaient lors de son examen du 7 juillet 2015. Les rapports des médecins traitants ne contiennent aucun élément permettant de mettre en doute les conclusions du médecin d’arrondissement quant à l’existence d’une capacité de travail entière dans une activité adaptée aux restrictions citées. En effet, le Dr F______ n’a pas justifié les raisons pour lesquelles son patient ne pourrait pas occuper un emploi respectant les restrictions retenues par le Dr H______ (cf. rapports des 8 mars et 23 juillet 2019). De plus, le médecin traitant a apprécié la capacité de travail de son patient en tenant compte de son état de santé général, dont plusieurs atteintes qui ne sont pas en rapport de causalité avec l’accident du 31 juillet 2014, dont des gonalgies « bilatérales » et des lombalgies (cf. rapport du 14 mai 2019). En outre, dans son dernier rapport, il a mentionné des limitations au niveau des deux membres supérieurs, alors que seul le côté gauche est concerné par l’accident du 31 juillet 2014 (cf. rapport du 17 janvier 2020). Quant au Dr L______, il a retenu des restrictions comparables à celles du Dr H______, en particulier des restrictions quant au port de charge, au travail au- dessus du plan de l’épaule et aux mouvements de rotations et d’abduction, et conclu dans un premier temps que la capacité de travail était entière dans une activité adaptée (cf. rapport du 28 mai 2019). Dans son dernier rapport, il est revenu sur cette appréciation, sans toutefois livrer le moindre élément susceptible de comprendre un tel revirement. Ses conclusions quant à l’absence de toute capacité de travail, même dans une activité strictement adaptée aux limitations fonctionnelles retenues par le médecin d’arrondissement, ne sauraient être suivies (cf. rapport du 10 décembre 2019).</w:t>
      </w:r>
    </w:p>
    <w:p>
      <w:r>
        <w:t>A/3619/2019 - 26/27 - d. La chambre de céans constate donc que le dossier de la cause ne contient aucun rapport permettant de douter du bien-fondé des conclusions du médecin d’arrondissement qui a écarté toute aggravation des troubles présentés par le recourant au niveau de son épaule gauche et confirmé l’existence d’une pleine capacité de travail dans une activité adaptée aux limitations déjà reconnues en 2015.</w:t>
      </w:r>
    </w:p>
    <w:p>
      <w:r>
        <w:rPr>
          <w:b/>
        </w:rPr>
        <w:t>E. 20</w:t>
      </w:r>
    </w:p>
    <w:p>
      <w:r>
        <w:t>En conclusion, l’intimée était fondée à retenir, dans sa décision sur opposition du 30 août 2019, que les séquelles présentées par le recourant au niveau de son épaule gauche suite à son accident du 31 juillet 2014 ne s’étaient pas notablement aggravées par rapport aux circonstances qui prévalaient lors du prononcé de la dernière décision entrée en force. Elle pouvait donc confirmer l’exigibilité retenue dans sa décision initiale, ainsi que l’absence du droit à une rente sans procéder à un nouveau calcul du degré d’invalidité. À toutes fins utiles, il sera encore relevé à l’attention du recourant que les « facteurs extérieurs » qu’il soulève, comme son âge ou le fait qu’il n’a plus travaillé depuis 2014, n'ont pas à être pris en compte dans l'appréciation de l'invalidité.</w:t>
      </w:r>
    </w:p>
    <w:p>
      <w:r>
        <w:rPr>
          <w:b/>
        </w:rPr>
        <w:t>E. 21</w:t>
      </w:r>
    </w:p>
    <w:p>
      <w:r>
        <w:t>S’agissant des troubles au niveau du genou gauche, le recourant n’a produit aucun document attestant d’une quelconque rechute depuis la décision du</w:t>
      </w:r>
    </w:p>
    <w:p>
      <w:r>
        <w:rPr>
          <w:b/>
        </w:rPr>
        <w:t>E. 22</w:t>
      </w:r>
    </w:p>
    <w:p>
      <w:r>
        <w:t>Au vu de ce qui précède, le recours est rejeté.</w:t>
      </w:r>
    </w:p>
    <w:p>
      <w:r>
        <w:rPr>
          <w:b/>
        </w:rPr>
        <w:t>E. 23</w:t>
      </w:r>
    </w:p>
    <w:p>
      <w:r>
        <w:t>Pour le surplus, la procédure est gratuite (art. 61 let. a LPGA).</w:t>
      </w:r>
    </w:p>
    <w:p>
      <w:r>
        <w:t>A/3619/2019 - 27/27 -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