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ATAS/1283/2013 vom 19. Dezember 2013</w:t>
      </w:r>
    </w:p>
    <w:p>
      <w:r>
        <w:t>GE Cour de justice, 2013-12-19, FR</w:t>
      </w:r>
    </w:p>
    <w:p>
      <w:r>
        <w:rPr>
          <w:b/>
        </w:rPr>
        <w:t xml:space="preserve">Quelle: </w:t>
      </w:r>
      <w:r>
        <w:t>https://mcp.opencaselaw.ch/entscheid/ge_gerichte_ATAS_1283_2013</w:t>
      </w:r>
    </w:p>
    <w:p>
      <w:r>
        <w:t>FR: GE_GERICHTE ATAS/1283/2013 du 19 décembre 2013</w:t>
      </w:r>
    </w:p>
    <w:p>
      <w:r>
        <w:t>IT: GE_GERICHTE ATAS/1283/2013 del 19 dicembre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 recours ayant été interjeté dans les forme et délai prévus par la loi (art. 56 à 60 LPGA), il y a lieu de le déclarer recevable.</w:t>
      </w:r>
    </w:p>
    <w:p>
      <w:r>
        <w:rPr>
          <w:b/>
        </w:rPr>
        <w:t>E. 3</w:t>
      </w:r>
    </w:p>
    <w:p>
      <w:r>
        <w:t>La LPGA, en vigueur depuis le 1er janvier 2003, a entraîné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A/1749/2013 - 11/16 -</w:t>
      </w:r>
    </w:p>
    <w:p>
      <w:r>
        <w:rPr>
          <w:b/>
        </w:rPr>
        <w:t>E. 4</w:t>
      </w:r>
    </w:p>
    <w:p>
      <w:r>
        <w:t>Le litige porte sur le droit de la recourante à des prestations de l'assurance- invalidité, singulièrement sur son statut et sur son degré d'invalidité.</w:t>
      </w:r>
    </w:p>
    <w:p>
      <w:r>
        <w:rPr>
          <w:b/>
        </w:rPr>
        <w:t>E. 5</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c) Pour déterminer la méthode applicable au cas particulier, il faut non pas, malgré la teneur de l'art. 8 al. 3 LPGA, chercher à savoir dans quelle mesure l'exercice d'une activité lucrative aurait été exigible de la part de l'assuré, mais se demander ce</w:t>
      </w:r>
    </w:p>
    <w:p>
      <w:r>
        <w:t>A/1749/2013 - 12/16 -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w:t>
      </w:r>
    </w:p>
    <w:p>
      <w:r>
        <w:rPr>
          <w:b/>
        </w:rPr>
        <w:t>E. 6</w:t>
      </w:r>
    </w:p>
    <w:p>
      <w:r>
        <w:t>En l'espèce, l’intimé soutient que c’est un statut d’active à 10% seulement qui doit être reconnu à la recourante, soit le taux correspondant à sa présence dans le commerce de son époux, alors que la recourante allègue qu’en bonne santé, elle aurait travaillé à plein temps. Il est constant que la recourante n'a plus exercé d'activité lucrative depuis 1998. Les ressources du couple sont limitées au point de vue financier (selon la première enquête ménagère, elles suffiraient tout juste à couvrir le loyer et les primes d’assurance-maladie de la famille). Dans sa demande de prestations, la recourante a indiqué être « femme au foyer ». Lors de la seconde enquête ménagère, en octobre 2012, elle a certes indiqué qu’en bonne santé, elle aurait travaillé à 100%, mais son mari, présent lors de l’entretien, a corrigé cette allégation en faisant remarquer qu’un taux de 50% serait plus probable, son épouse devant continuer à s’occuper du ménage et de leurs enfants. Eu égard à l’ensemble des circonstances, il apparaît vraisemblable que la recourante, en bonne santé, aurait exercé une activité lucrative. Un taux d’activité de 100% paraît cependant peu probable au vu de la position du père de famille, corroborée par la première allégation de l’intéressée dans sa demande de prestations, selon laquelle elle serait « femme au foyer ». Quant à savoir si son taux d’activité aurait été à 10% (comme retenu par l’intimé) ou de 50%, la question peut rester ouverte, eu égard au fait que même si un statut</w:t>
      </w:r>
    </w:p>
    <w:p>
      <w:r>
        <w:t>A/1749/2013 - 13/16 - d’active à 50% était reconnu à la recourante, cela ne modifierait en rien son degré d’invalidité dans la sphère professionnelle, ainsi que cela va être démontré dans les considérants suivants.</w:t>
      </w:r>
    </w:p>
    <w:p>
      <w:r>
        <w:rPr>
          <w:b/>
        </w:rPr>
        <w:t>E. 7</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w:t>
      </w:r>
    </w:p>
    <w:p>
      <w:r>
        <w:t>A/1749/2013 - 14/16 -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8</w:t>
      </w:r>
    </w:p>
    <w:p>
      <w:r>
        <w:t>En l’espèce, tous les experts s’étant penchés sur la situation somatique de la recourante sont parvenus à la conclusion qu’elle disposait d’une capacité de 50% au moins (voire même 80% pour le Dr K__________) dans une activité adaptée. Ainsi, tant le Dr I__________ que le Dr G__________ ont estimé qu’une activité légère pouvait être exigée à 50%. Il n’y a pas lieu de mettre en doute ces conclusions, convergentes et convaincantes, la recourante n’invoquant aucun élément médical objectif de nature à en faire douter, pas plus qu’il n’y a lieu de douter de l’absence de toute pathologie psychiatrique invalidante, l’expertise du Dr H__________ à cet égard n’étant, elle non plus, remise en question par aucun élément médical objectif. Il en découle que le degré d’invalidité dans la sphère professionnelle est de 0%, qu’un taux d’activité de 10 ou de 50% soit retenu.</w:t>
      </w:r>
    </w:p>
    <w:p>
      <w:r>
        <w:rPr>
          <w:b/>
        </w:rPr>
        <w:t>E. 9</w:t>
      </w:r>
    </w:p>
    <w:p>
      <w:r>
        <w:t>Quant au taux d’invalidité dans la sphère ménagère, il a fait l’objet de deux évaluations successives. La première, en février 2008, a conclu à un empêchement de l’ordre de 16,6%, la seconde, en octobre 2012, à un empêchement de 2%, compte tenu de l’aide grandissante apportée par les enfants et des conclusions des différents médecins quant aux limitations fonctionnelles de la recourante. Là encore, on constate que même en adoptant l’hypothèse la plus favorable à la recourante - à savoir un empêchement de 16,6% dans une sphère ménagère de 50% -, on n’obtient qu’un degré d’invalidité de 8,3%, insuffisant pour ouvrir droit aux prestations de l’assurance-invalidité.</w:t>
      </w:r>
    </w:p>
    <w:p>
      <w:r>
        <w:t>A/1749/2013 - 15/16 - Eu égard aux considérations qui précèdent, le recours est donc rejeté.</w:t>
      </w:r>
    </w:p>
    <w:p>
      <w:r>
        <w:t>A/1749/2013 - 16/16 -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