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ATAS/1282/2012 vom 25. Oktober 2012</w:t>
      </w:r>
    </w:p>
    <w:p>
      <w:r>
        <w:t>GE Cour de justice, 2012-10-25, FR</w:t>
      </w:r>
    </w:p>
    <w:p>
      <w:r>
        <w:rPr>
          <w:b/>
        </w:rPr>
        <w:t xml:space="preserve">Quelle: </w:t>
      </w:r>
      <w:r>
        <w:t>https://mcp.opencaselaw.ch/entscheid/ge_gerichte_ATAS_1282_2012</w:t>
      </w:r>
    </w:p>
    <w:p>
      <w:r>
        <w:t>FR: GE_GERICHTE ATAS/1282/2012 du 25 octobre 2012</w:t>
      </w:r>
    </w:p>
    <w:p>
      <w:r>
        <w:t>IT: GE_GERICHTE ATAS/1282/2012 del 25 ottobre 2012</w:t>
      </w:r>
    </w:p>
    <w:p>
      <w:pPr>
        <w:pStyle w:val="Heading2"/>
      </w:pPr>
      <w:r>
        <w:t>Erwägungen</w:t>
      </w:r>
    </w:p>
    <w:p>
      <w:r>
        <w:rPr>
          <w:b/>
        </w:rPr>
        <w:t>E. 1</w:t>
      </w:r>
    </w:p>
    <w:p>
      <w:r>
        <w:t>Il convient d’examiner en premier lieu si la Cour de céans est compétente pour connaître de la demande en paiement. a) En vertu de l’art. 73 de la loi fédérale sur la prévoyance professionnelle vieillesse, survivants et invalidité, du 25 juin 1982 (LPP ; RS 831.40), chaque canton désigne un tribunal qui connaît, en dernière instance cantonale, des</w:t>
      </w:r>
    </w:p>
    <w:p>
      <w:r>
        <w:t>A/1700/2012 - 4/6 - contestations opposant institutions de prévoyance, employeurs et ayants droit (al. 1). b) A Genève, conformément à l’art. 134 al. 1 let. b de la loi sur l'organisation judiciaire du 26 septembre 2010 (LOJ; RS E 2 05) en vigueur depuis le 1er janvier 2011, la juridiction compétente est la Chambre des assurances sociales de la Cour de justice. c)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consid. 2a; ATFA non publié B 24/00 du 30 octobre 2001). d) En l’espèce, le demandeur conteste le montant de l’indemnité équitable accordé à son ex-épouse par le juge civil. Il conteste également le calcul du minimum vital auquel s’est livré l’OP et, enfin, le fait que les montants alloués à son ex-épouse aient été indexés. La Cour de céans ne peut que constater qu’aucune de ces prétentions ne relève spécifiquement de la prévoyance professionnelle et donc de sa compétence. Eu égard à ces considérations, la demande doit être déclarée irrecevable. S’agissant de l’indexation des montants dus à l’ex-épouse du demandeur, la Cour relèvera tout de même qu’effectivement, seuls les montants qui lui sont alloués à titre de contribution d’entretien sont adaptés à l’indice genevois des prix à la consommation, contrairement à celui de 2'000 fr. constituant l’acompte pour</w:t>
      </w:r>
    </w:p>
    <w:p>
      <w:r>
        <w:t>A/1700/2012 - 5/6 - indemnité équitable (cf. ch. 7 du dispositif du jugement du TPI). Cela est d’ailleurs logique puisque les acomptes en question sont destinés à permettre au demandeur de s’acquitter de l’indemnité fixée une fois pour toutes au jour du divorce à 467'000 fr.</w:t>
      </w:r>
    </w:p>
    <w:p>
      <w:r>
        <w:t>A/1700/2012 - 6/6 -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