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ATAS/1281/2020 vom 22. Dezember 2020</w:t>
      </w:r>
    </w:p>
    <w:p>
      <w:r>
        <w:t>GE Cour de justice, 2020-12-22, FR</w:t>
      </w:r>
    </w:p>
    <w:p>
      <w:r>
        <w:rPr>
          <w:b/>
        </w:rPr>
        <w:t xml:space="preserve">Quelle: </w:t>
      </w:r>
      <w:r>
        <w:t>https://mcp.opencaselaw.ch/entscheid/ge_gerichte_ATAS_1281_2020</w:t>
      </w:r>
    </w:p>
    <w:p>
      <w:r>
        <w:t>FR: GE_GERICHTE ATAS/1281/2020 du 22 décembre 2020</w:t>
      </w:r>
    </w:p>
    <w:p>
      <w:r>
        <w:t>IT: GE_GERICHTE ATAS/1281/2020 del 22 dicembre 2020</w:t>
      </w:r>
    </w:p>
    <w:p>
      <w:pPr>
        <w:pStyle w:val="Heading2"/>
      </w:pPr>
      <w:r>
        <w:t>Erwägungen</w:t>
      </w:r>
    </w:p>
    <w:p>
      <w:r>
        <w:rPr>
          <w:b/>
        </w:rPr>
        <w:t>E. 1</w:t>
      </w:r>
    </w:p>
    <w:p>
      <w:r>
        <w:t>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Les institutions qui se consacrent exclusivement au régime surobligatoire sont libérées de l'obligation de s’enregistrer dans le registre de la prévoyance professionnelle auprès de l’autorité de surveillance (art. 48 al. 1 LPP a contrario). Elles sont réglementées par l'art. 89a CC dont l'al. 6 reprend en très grande partie le catalogue de l'art. 49 al. 2 LPP (arrêt du Tribunal administratif fédéral C-4289/2010 du 28 mars 2013 consid. 3.2 ; T. GÄCHTER/M. GECKELER HUNZIKER in : J- A. SCHNEIDER/T. GEISER/T. GÄCHTER, LPP et LFLP, 2010, ad art. 48 LPP, n° 5). En l’occurrence, l’art. 8 CCRAMB dispose que les prestations sont accordées dans le but de permettre au travailleur de prendre une retraite anticipée au plus tôt 4 ans avant l’âge ordinaire de la retraite AVS. Ainsi, la RAMB ne participe pas à l'application du régime de l'assurance obligatoire au sens de la LPP. Il s’agit d’une institution de prévoyance non enregistrée (ATAS/388/2018 du 3 mai 2018 consid. 1b ; ATAS/41/2017 du 24 janvier 2017 consid. 1). Au sens de l’art. 89a al. 1 et al. 6 ch. 19 CC, les art. 73 et 74 LPP sont applicables en matière de contentieux pour les institutions de prévoyance non enregistrées dans le domaine des prestations qui dépassent le minimum obligatoire qui sont constituées sous la forme de fondation (ATF 122 V 323 consid. 2a). c. Au vu de ce qui précède, la compétence de la chambre de céans pour juger du cas d’espèce est établie.</w:t>
      </w:r>
    </w:p>
    <w:p>
      <w:r>
        <w:rPr>
          <w:b/>
        </w:rPr>
        <w:t>E. 2</w:t>
      </w:r>
    </w:p>
    <w:p>
      <w:r>
        <w:t>L’art. 21 al. 5 du règlement de la défenderesse (ci-après le règlement) prévoit que cette dernière notifie sa décision au bénéficiaire qui a déposé une demande de prestations.</w:t>
      </w:r>
    </w:p>
    <w:p>
      <w:r>
        <w:t>A/3097/2019 - 6/13 - Il faut rappeler que le moyen juridictionnel visé par l'art. 73 al. 1 LPP est une action, définie comme une demande adressée à un organe judiciaire tendant à l'attribution de droits ou de prestations, voire à la constatation de l'existence ou de l'inexistence d'un droit. De fait, la LPP ne prévoit pas la possibilité pour les institutions de prévoyance de rendre des décisions au sens propre du terme. Il est dès lors douteux que les institutions de prévoyance de droit public aient conservé le pouvoir de statuer sur les prétentions de leurs affiliés au moyen de telles décisions (ATF 113 V 198 consid. 2). L’écriture du demandeur du 25 août 2019 sera ainsi traitée comme une demande. Elle est recevable, dès lors qu’elle respecte la forme prévue à l'art. 89B al. 1 de la loi sur la procédure administrative du 12 septembre 1985 (LPA - RSG E 5 10).</w:t>
      </w:r>
    </w:p>
    <w:p>
      <w:r>
        <w:rPr>
          <w:b/>
        </w:rPr>
        <w:t>E. 3</w:t>
      </w:r>
    </w:p>
    <w:p>
      <w:r>
        <w:t>Le litige porte sur le droit de l’intéressé à une rente de retraite anticipée en application de la CCRAMB.</w:t>
      </w:r>
    </w:p>
    <w:p>
      <w:r>
        <w:rPr>
          <w:b/>
        </w:rPr>
        <w:t>E. 4</w:t>
      </w:r>
    </w:p>
    <w:p>
      <w:r>
        <w:t>D'après l'art. 73 al. 2 LPP, la procédure en matière de prévoyance professionnelle doit être simple, rapide et, en principe, gratuite. Lorsque l'action est ouverte à l'initiative de l'ayant droit, son écriture doit désigner les personnes (physiques ou morales) recherchées, contenir des conclusions ainsi qu'une motivation ; c'est elle qui déclenche l'ouverture de la procédure et détermine l'objet du litige et les parties en cause (maxime de disposition). Dans les limites de l'objet du litige tel qu'il a été déterminé par les conclusions de la demande et les faits invoqués à l'appui de celle- ci, le juge de première instance n'est toutefois pas lié par les prétentions des parties; il peut ainsi adjuger plus ou moins que demandé à condition de respecter leur droit d'être entendues (ATF 139 V 176 consid. 5.1 p. 185 et les références). Par ailleurs, conformément à l'art. 73 al. 2, 2ème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p. 185 ; arrêt du Tribunal Fédéral 9C 35/2016 du 16 août 2016).</w:t>
      </w:r>
    </w:p>
    <w:p>
      <w:r>
        <w:rPr>
          <w:b/>
        </w:rPr>
        <w:t>E. 5</w:t>
      </w:r>
    </w:p>
    <w:p>
      <w:r>
        <w:t>Le droit à une rente de vieillesse, selon l’art. 21 al. 1 let. a de la loi fédérale sur l’assurance-vieillesse et survivants du 20 décembre 1946 (LAVS - RS 831.10), prend naissance pour les hommes qui ont atteint l’âge de 65 ans révolus. Aux termes de l’art. 10 al. 1 CCRAMB, le droit aux prestations de retraite anticipée prend naissance au plus tôt 4 ans avant l’âge ordinaire de la retraite au sens de la LAVS. Pour avoir droit à des prestations, l’assuré doit remplir les conditions cumulatives suivantes :</w:t>
      </w:r>
    </w:p>
    <w:p>
      <w:r>
        <w:t>A/3097/2019 - 7/13 - a) il a travaillé dans le canton de Genève, en qualité de personnel d’exploitation, dans une entreprise visée par le champ d’application de la CCRAMB pendant au moins 240 mois et de manière ininterrompue pendant les 10 dernières années précédant le versement des prestations ; b) il renonce définitivement à toute activité lucrative, sous réserve de l’article 13. L’art. 10 al. 3 CCRAMB prévoit que le travailleur qui a travaillé à Genève durant les 10 dernières années précédant le versement des prestations en qualité de personnel d’exploitation dans une entreprise visée par le champ d’application de cette convention, mais qui ne remplit pas le critère d’occupation de 240 mois, peut faire valoir son droit à une rente temporaire réduite proportionnellement. L’art. 14 CCRAMB précise que la rente temporaire peut être réduite si elle concourt avec des prestations d’assurances sociales. C’est le règlement de la Fondation qui règle les détails de la coordination. Selon l’art. 18 CCRAMB, le Conseil de Fondation ou la commission qu’il aura désignée peut octroyer des prestations de remplacement dans les cas de rigueur notamment aux travailleurs qui ont dû cesser, contre leur volonté et de manière définitive, leur activité. Le versement d’une prestation de remplacement dans les cas de rigueur exclut toute autre prestation de la Fondation RAMB.</w:t>
      </w:r>
    </w:p>
    <w:p>
      <w:r>
        <w:rPr>
          <w:b/>
        </w:rPr>
        <w:t>E. 6</w:t>
      </w:r>
    </w:p>
    <w:p>
      <w:r>
        <w:t>Le 10 décembre 2012, sur la base des art. 6 al. 2, 14, 19 al. 2, 20 al. 3 et 25 al .1 CCRAMB, le conseil de la Fondation RAMB a adopté un règlement (ci-après : Règlement). Selon l’art. 12 du Règlement, le droit aux prestations de retraite anticipée prend naissance au plus tôt quatre ans avant l’âge ordinaire de la retraite au sens de la LAVS. Ce droit est subordonné aux conditions cumulatives suivantes : « 1 Avoir passé les dix dernières années qui précèdent la prise de retraite anticipée, en qualité de travailleur d'exploitation, dans une entreprise soumise au champ d'application de la CCRAMB. 2 Ne plus exercer d'activité lucrative dans les métiers techniques du bâtiment dans la limite de son temps d'occupation antérieur ». L'art. 15 Règlement précise que : « 1 Pour avoir droit aux prestations complètes, l'assuré doit avoir exercé son activité dans des entreprises définies à l'article 2 CCRAMB selon les conditions suivantes : a. avoir travaillé dans le canton de Genève en qualité de personnel d'exploitation dans une entreprise visée par le champ d'application de la CCRAMB pendant au moins 240 mois et de manière ininterrompue pendant les 10 dernières années précédant le versement des prestations ; b. les périodes de maladie et d'accident comptent comme périodes de cotisations. 2 En cas de durée de service inférieure à 240 mois mais supérieure à 10 ans, les prestations seront réduites de 1/240ème par mois manquant.</w:t>
      </w:r>
    </w:p>
    <w:p>
      <w:r>
        <w:t>A/3097/2019 - 8/13 - 3 Ne sont pas prises en compte pour le calcul de la durée de service ouvrant droit aux prestations : a. les années d'apprentissage ; b. les années d'activités dans les entreprises non définies à l'article 2 de la convention collective RAMB ; c. les années passées en qualité de personnel administratif ou de chef d'entreprise indépendant. 4 L'assuré en incapacité de travail au moment de l'ouverture possible du droit aux prestations doit avoir épuisé toutes les prestations d'assurances avant de pouvoir bénéficier de la retraite anticipée. 5 L'assuré partiellement à l'AI ou au chômage peut bénéficier des prestations pour la part non couverte ». L'art. 17 Règlement fixe le montant des rentes comme suit : « 1 La rente mensuelle complète est égale à 75% de la moyenne du salaire AVS des deux dernières années, mais au minimum CHF 3'850.00 et au maximum 4'850.00 pour un droit aux prestations entières. En cas d'activité partielle, les limites minimales et maximales sont réduites dans les mêmes proportions. 2 La rente de base temporaire peut être réduite en application des dispositions prévues à l'article 15. 3 Le revenu total du salaire et des prestations en substitution du salaire, y compris la rente de base temporaire, ne doivent en aucun cas être supérieurs au revenu total correspondant avant la retraite anticipée ». Enfin, l’art. 20 al. 2 Règlement stipule que le cas d’un assuré qui a été au chômage au cours des 240 mois précédant la demande de retraite anticipée sera traité en commission restreinte.</w:t>
      </w:r>
    </w:p>
    <w:p>
      <w:r>
        <w:rPr>
          <w:b/>
        </w:rPr>
        <w:t>E. 7</w:t>
      </w:r>
    </w:p>
    <w:p>
      <w:r>
        <w:t>En l'espèce, l’intéressé a certes travaillé dans le canton de Genève en qualité de personnel d’exploitation dans une entreprise visée par le champ d’application de la CCRAMB pendant au moins 240 mois, sa durée d'activité a toutefois été interrompue pendant les 10 dernières années précédant le versement des prestations, soit en août 2010 et de juin à octobre 2013. L'intéressé ne le conteste pas, mais fait valoir qu'il a cotisé depuis 1981, ce qui représente une période bien plus important que les 240 mois exigés. Force est toutefois de constater que la condition de durée ininterrompue énoncée aux art. 10 al. 1 let. a CCRAMB et 15 al. 1 let. a du Règlement n'est pas réalisée. L'art. 15 al. 2 du Règlement ne prévoit qu'une seule exception, pour ceux qui ont travaillé pendant les 10 dernières années précédant le versement des prestations dans le canton de Genève, mais qui ne remplissent pas le critère d’occupation de 240 mois. Aucune réserve n'est en revanche prévue dans le Règlement pour ceux qui remplissent le critère de 240 mois, mais pas celui d’un emploi durant les</w:t>
      </w:r>
    </w:p>
    <w:p>
      <w:r>
        <w:rPr>
          <w:b/>
        </w:rPr>
        <w:t>E. 10</w:t>
      </w:r>
    </w:p>
    <w:p>
      <w:r>
        <w:t>Le cas de l’intéressé a dûment été soumis à la Commission restreinte en application des art. 15 al. 5 et 20 al. 2 Règlement, laquelle a confirmé le refus de prestations, au motif que celui-ci avait perdu son emploi en raison d’un comportement fautif.</w:t>
      </w:r>
    </w:p>
    <w:p>
      <w:r>
        <w:rPr>
          <w:b/>
        </w:rPr>
        <w:t>E. 11</w:t>
      </w:r>
    </w:p>
    <w:p>
      <w:r>
        <w:t>La formulation de l’art. 15 al. 5 du règlement donne un pouvoir d’appréciation à la commission restreinte qui statue, dès lors, en opportunité. L'administration dispose d'un pouvoir d'appréciation, lorsque la loi lui laisse une certaine marge de manœuvre, à savoir lorsque l'autorité chargée d'appliquer la loi a le choix entre plusieurs solutions qui sont toutes conformes au droit. On dira qu'en exerçant celui- ci l'autorité statue « en opportunité » (Thierry TANQUEREL, Manuel de droit administratif, 2011, p. 166, n. 500).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manœuvre relativement importante (Thierry</w:t>
      </w:r>
    </w:p>
    <w:p>
      <w:r>
        <w:t>A/3097/2019 - 10/13 - TANQUEREL, op. cit., p. 167-168, n. 506-507).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arrêt 8C_601/2012 du 26 février 2013 consid. 4.2, non publié in ATF 139 V 164 et les références ; arrêt du Tribunal Fédéral 8C 763/2017 du 30 octobre 2018). Le juge des assurances sociales ne peut, sans motif pertinent, substituer sa propre appréciation à celle de l'administration. Il doit s'appuyer sur des circonstances de nature à faire apparaître sa propre appréciation comme la mieux appropriée (ATF 137 V 71 consid. 5.2 p. 73 ; arrêt du Tribunal Fédéral du 19 octobre 2018).</w:t>
      </w:r>
    </w:p>
    <w:p>
      <w:r>
        <w:rPr>
          <w:b/>
        </w:rPr>
        <w:t>E. 12</w:t>
      </w:r>
    </w:p>
    <w:p>
      <w:r>
        <w:t>a. Il résulte des explications données à la chambre de céans lors de l’audience du 10 novembre 2020 par le représentant de la Fondation que la Commission restreinte adopte systématiquement ce motif de refus pour écarter les cas de rigueur. Elle applique ainsi, a contrario, l’art. 18 CCRAMB selon lequel les prestations de remplacement peuvent être octroyées aux travailleurs « qui ont dû cesser, contre leur volonté et de manière définitive, leur activité ». Pourtant, dans l'arrêt susmentionné (ATAS/578/2020), il s’avère que la Commission restreinte n’a à aucun moment invoqué l’existence d’une faute, alors que le travailleur concerné avait également eu des périodes d'interruption totalisant 10 mois durant les 10 dernières années précédant sa demande de versement des prestations. Elle a motivé sa décision par laquelle elle refusait de reconnaitre un cas de rigueur en se fondant uniquement sur le fait que le droit du travailleur à des prestations de chômage était ouvert au moment où il avait sollicité l'octroi de la rente anticipée. Elle n'a ce faisant pas examiné si les interruptions étaient dues à une faute ou non. Elle a ainsi défini le cas de rigueur comme étant la situation dans laquelle le travailleur est privé de ressources – soit lorsque le droit à des indemnités de chômage ne lui est pas ouvert. b. Le représentant de la Fondation a par ailleurs ajouté que selon la pratique de la Commission restreinte, le cas de rigueur était rejeté quel que soit le degré de gravité de la faute commise par le travailleur. Aussi le même traitement est-il accordé que la faute soit légère, ou grave justifiant une résiliation pour de justes motifs au sens des art. 337 et 346 CO. La Commission restreinte ne semble pas non plus se préoccuper de savoir si le comportement reproché a été ou non clairement établi dès lors qu’elle se fonde uniquement sur la lettre de licenciement que reçoit le travailleur, soit sur les seules déclarations de l’employeur. De même ne tenait-elle pas compte, jusqu'à tout récemment, de la durée de l'interruption. Le représentant de la Fondation a à cet égard précisé que depuis cinq mois environ, date à laquelle un nouveau secrétaire était arrivé à la Fondation, la Commission restreinte avait décidé d'être plus souple en tenant compte de la durée d'interruption et de la durée</w:t>
      </w:r>
    </w:p>
    <w:p>
      <w:r>
        <w:t>A/3097/2019 - 11/13 - d'activité de la personne au total. Aussi avait-elle admis deux cas de rigueur récemment. Il s'agissait d'assurés ayant été licenciés pour raison économique et qui avaient connu des périodes d'interruption courtes. Le représentant de la Fondation n'a toutefois pas su dire ce que la Commission restreinte entendait par périodes d'interruption courtes. c. Le représentant de la Fondation a par ailleurs expliqué que la Commission restreinte avait jusque-là toléré que des assurés qui ne comptaient pas une période de cotisation ininterrompue de dix ans depuis la demande d'octroi de prestations puisse racheter les cotisations des mois manquants afin de pouvoir bénéficier d'une rente de retraite anticipée. Cette pratique avait toutefois été abandonnée récemment, au vu de l’art. 11 Règlement interdisant expressément le rachat d'années de cotisation manquantes. Le représentant de la Fondation a toutefois certifié que cette interdiction de rachat n'empêchait pas la Commission restreinte d'admettre des cas de rigueur. Or, la chambre de céans relève que dans son arrêt précité (ATAS/578/2020), le refus d'allouer au demandeur des prestations de remplacement pour cas de rigueur était précisément motivé par le fait que celui-ci ne pouvait, au vu de l'art. 11 Règlement, racheter les années de cotisation manquantes. d. Enfin, la Commission restreinte s’est rendue compte que sa pratique n’était pas uniforme, et a pour projet, aux dires du représentant de la Fondation, d’établir un recueil « pour tenter de rendre le même genre de décisions pour tous les assurés ». Le représentant de la Fondation reconnait par ailleurs que, d'une manière générale, des changements de pratique surviennent dès qu’une nouvelle direction est mise en place, ce qui est du reste le cas 5 mois auparavant.</w:t>
      </w:r>
    </w:p>
    <w:p>
      <w:r>
        <w:rPr>
          <w:b/>
        </w:rPr>
        <w:t>E. 13</w:t>
      </w:r>
    </w:p>
    <w:p>
      <w:r>
        <w:t>En l’espèce, la Commission restreinte a retenu, sur la base de la lettre de licenciement du 28 mars 2013 notifiée à l’intéressé, que celui-ci avait commis une faute, ce qui suffisait à nier l’existence d’un cas de rigueur. Or, dans ce courrier, l’employeur a informé l’intéressé qu’il avait décidé de mettre un terme à son contrat de travail avec effet au 31 mai 2013, au motif qu’il n’avait pas respecté, « à plusieurs reprises déjà », l’obligation qui lui incombait « de se conduire correctement envers toutes les personnes avec lesquelles le travailleur entre en relation dans l’exercice de son métier ». Cela étant, l’employeur a respecté le délai de congé de deux mois. On peut en déduire qu'il n’a pas considéré que la faute qu’il reprochait à l’intéressé était grave. En l’occurrence, l’intéressé n’a pas travaillé en août 2010 et de juin à octobre 2013, soit moins de 6 mois au total.</w:t>
      </w:r>
    </w:p>
    <w:p>
      <w:r>
        <w:rPr>
          <w:b/>
        </w:rPr>
        <w:t>E. 14</w:t>
      </w:r>
    </w:p>
    <w:p>
      <w:r>
        <w:t>Force est, au vu de ce qui précède, de constater que la pratique adoptée par la Commission restreinte varie au gré des directions se succédant et est, partant, contraire au principe de l'égalité de traitement. Son interprétation du Règlement est</w:t>
      </w:r>
    </w:p>
    <w:p>
      <w:r>
        <w:t>A/3097/2019 - 12/13 - si peu cohérente qu'elle envisage elle-même de mettre sur pied un recueil afin que les assurés soient traités de la même manière. Dans le cas d'espèce, on ignore au surplus sur la base de quels critères elle entend se fonder pour admettre ou nier un cas de rigueur. S'il s'agit de la faute, comme dans le cas d'espèce, le degré de gravité de la faute commise, la réalité du comportement reproché, ainsi que la durée de l'interruption, en particulier, ne semblent curieusement pas avoir été examinés dans ce cadre. On ne saurait pourtant exclure un cas de rigueur sur la base de critères qui n’ont pas été clairement définis préalablement. Il apparaît dans ces conditions que la Commission restreinte a clairement violé dans le cas d’espèce les principes d’interdiction de l’arbitraire, de l’inégalité de traitement et de la proportionnalité.</w:t>
      </w:r>
    </w:p>
    <w:p>
      <w:r>
        <w:rPr>
          <w:b/>
        </w:rPr>
        <w:t>E. 15</w:t>
      </w:r>
    </w:p>
    <w:p>
      <w:r>
        <w:t>Partant, la demande sera partiellement admise et la cause renvoyée à la défenderesse afin qu'elle réexamine, dans le respect de la CCRAMB et des principes constitutionnels susmentionnés, si l'intéressé peut prétendre aux prestations de remplacement pour cas de rigueur.</w:t>
      </w:r>
    </w:p>
    <w:p>
      <w:r>
        <w:t>A/3097/2019 - 13/13 -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