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ATAS/1281/2013 vom 19. Dezember 2013</w:t>
      </w:r>
    </w:p>
    <w:p>
      <w:r>
        <w:t>GE Cour de justice, 2013-12-19, FR</w:t>
      </w:r>
    </w:p>
    <w:p>
      <w:r>
        <w:rPr>
          <w:b/>
        </w:rPr>
        <w:t xml:space="preserve">Quelle: </w:t>
      </w:r>
      <w:r>
        <w:t>https://mcp.opencaselaw.ch/entscheid/ge_gerichte_ATAS_1281_2013</w:t>
      </w:r>
    </w:p>
    <w:p>
      <w:r>
        <w:t>FR: GE_GERICHTE ATAS/1281/2013 du 19 décembre 2013</w:t>
      </w:r>
    </w:p>
    <w:p>
      <w:r>
        <w:t>IT: GE_GERICHTE ATAS/1281/2013 del 19 dicembre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w:t>
      </w:r>
    </w:p>
    <w:p>
      <w:r>
        <w:t>A/170/2013 - 5/10 -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Le litige porte sur la question du droit de l'assurée aux prestations de l'assurance- invalidité. On relèvera que la recourante ne conteste ni les conclusions du Dr B___________ quant à sa capacité de travail, ni le statut d’active à 38% qui lui a été reconnu par l’intimé, ni les conclusions de l’enquête ménagère. Seules restent donc contestées les questions relatives au calcul du degré d’invalidité - plus particulièrement les montants retenus à titre de revenu avant et après invalidité -, à l’exigibilité d’une activité lucrative et à l’éventuelle prise en compte de l’interaction entre sphère professionnelle et sphère ménagère.</w:t>
      </w:r>
    </w:p>
    <w:p>
      <w:r>
        <w:rPr>
          <w:b/>
        </w:rPr>
        <w:t>E. 5</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Chez les assurés qui, comme la recourante,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w:t>
      </w:r>
    </w:p>
    <w:p>
      <w:r>
        <w:t>A/170/2013 - 6/10 -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207ss.; 106 V 88; 110 V 275; RCC 1981 p. 124 consid. 1a).</w:t>
      </w:r>
    </w:p>
    <w:p>
      <w:r>
        <w:rPr>
          <w:b/>
        </w:rPr>
        <w:t>E. 7</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rPr>
          <w:b/>
        </w:rPr>
        <w:t>E. 8</w:t>
      </w:r>
    </w:p>
    <w:p>
      <w:r>
        <w:t>En premier lieu, la recourante soutient qu’au vu du nombre de limitations fonctionnelles qu’elle rencontre, seule une activité légère sédentaire et n’impliquant pas l’usage du bras gauche peut entrer en ligne de compte. Elle reproche à l’OAI ne n’avoir pas examiné concrètement s’il existait une activité correspondant à cette description et si cette activité était raisonnablement exigible de sa part. Il est vrai qu’il appartient en principe à l'administration d'indiquer quelles sont les possibilités de travail concrètes qui entrent en considération, compte tenu des indications médicales et des autres aptitudes de l'assuré (ATF 107 V 20 consid. 2b = RCC 1982 p. 34). Pour ce faire, il ne faut pas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w:t>
      </w:r>
    </w:p>
    <w:p>
      <w:r>
        <w:t>A/170/2013 - 7/10 - En l’occurrence, force est de constater avec le service de réadaptation professionnelle que si la recourante rencontre certes des limitations, celles-ci ne sont pas telles qu’elles excluraient d’office toute activité. Il en existe en effet qui correspondent à la description donnée par l’expert, à savoir légères, s’exerçant en position assise, n’impliquant ni port de charges ni mouvements en force de l’épaule, ni mouvements de rotation, telles que vendeuse de kiosque ou encore guichetière (de cinéma, de théâtre ou de musée) par exemple. Le fait que le revenu d'invalide ait été déterminé en se référant au salaire mensuel brut (valeur centrale), tel qu'il résulte de l'ESS pour des activités simples et répétitives, toutes branches économiques confondues, ne permet pas de conclure que la situation effective de l’assurée n'a pas été convenablement élucidée. Il aurait certes été préférable, afin de coller au plus près de la réalité, de déterminer d'abord avec précision quelles activités l’assurée est encore en mesure d'exercer malgré son handicap, en les spécifiant clairement. Toutefois, dans la mesure où le montant retenu représente le salaire mensuel brut (valeur centrale) pour des postes de travail qui ne requièrent pas de qualifications professionnelles particulières, on peut admettre, que la plupart de ces emplois sont, abstraction faite des limitations rencontrées par la recourante, conformes aux aptitudes de celles-ci. Au regard du large éventail d'activités simples et répétitives que recouvrent les secteurs de la production et des services, on doit convenir qu'un nombre significatif de ces activités sont légères et adaptées à son handicap et que le salaire statistique qui a été pris en considération est donc représentatif de ce que pourrait gagner l’intéressée, compte tenu d'un marché équilibré du travail (au sens de l'art. 28 al. 2 aLAI ou 16 LPGA), en mettant à profit sa pleine capacité de travail dans une activité adaptée. On ajoutera que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consid. 3c p. 233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w:t>
      </w:r>
    </w:p>
    <w:p>
      <w:r>
        <w:t>A/170/2013 - 8/10 -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9C_849/2007 du 22 juillet 2008 consid. 5.2; arrêts I 819/04 du 27 mai 2005, consid. 2.2; I 462/02 du 26 mai 2003, consid. 2.3; I 617/02 du 10 mars 2003, consid. 3.1; I 401/01 du 4 avril 2002, consid. 4c). 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l'arrêt 9C_149/2011 du 25 octobre 2012, publié aux ATF 138 V 457. Il a statué que ce moment correspond à celui où l'on constate que l'exercice (en plein ou partiel) d'une activité lucrative est exigible du point de vue médical, soit dès que les documents médicaux permettent d'établir de manière fiable les faits y relatifs (ATF 138 V 457 consid. 3.3 et 3.4 p. 461 s.; arrêt 9C_913/2012 du 9 avril 2013 consid. 5.3). En l’occurrence, il convient donc de se placer en 2010. L’assurée était alors âgée de 54 ans, de sorte qu’elle n’avait pas atteint le seuil à partir duquel on peut admettre qu’elle n'aurait plus la possibilité de réintégrer le marché du travail. Le premier grief de la recourante doit donc être écarté.</w:t>
      </w:r>
    </w:p>
    <w:p>
      <w:r>
        <w:rPr>
          <w:b/>
        </w:rPr>
        <w:t>E. 9</w:t>
      </w:r>
    </w:p>
    <w:p>
      <w:r>
        <w:t>a) En second lieu, l’intéressée reproche à l’OAI de ne pas avoir procédé, pour le calcul de sa perte de gain, à un parallélisme des revenus. Elle allègue en effet que le salaire réalisé avant l’atteinte à sa santé était nettement inférieur à la moyenne, environ 30%, et ce, pour des raisons n’ayant rien à voir avec l’invalidité. La recourante base son argumentation sur le fait que le revenu avant invalidité retenu par l’intimé (14'246 fr. par an pour un taux d’occupation de 38%) correspond à un revenu de 37'489 fr. par an pour un plein temps, ce qui représente un montant de 29% inférieur à celui du salaire statistique moyen selon l’ESS. Elle en tire la conclusion qu’en vertu du principe du parallélisme des revenus, le revenu statistique devrait donc être réduit de 29%. L’intimé soutient quant à lui qu’il n’est nullement démontré que le salaire reçu avant l’atteinte à la santé était largement inférieur au salaire pratiqué dans la branche concernée. b) La parallélisation des revenus s'impose lorsque le revenu (sans invalidité) effectivement réalisé par l'assuré est nettement inférieur au salaire moyen en usage dans la branche concernée en raison de facteurs étrangers à l'invalidité - c'est-à-dire inférieur d'au moins 5% au salaire statistique usuel dans la branche (ATF 135 V 297 consid. 6.1.2 p. 302) - et qu'il ne veut pas délibérément s'en contenter (cf. ATF 134 V 322). Le Tribunal fédéral a eu l'occasion de préciser quels pouvaient être les facteurs étrangers à l'invalidité. Il a notamment mentionné à ce propos une faible formation scolaire et l'absence de formation professionnelle, des</w:t>
      </w:r>
    </w:p>
    <w:p>
      <w:r>
        <w:t>A/170/2013 - 9/10 - connaissances insuffisantes d'une langue nationale, ainsi que des possibilités restreintes d'embauche à cause du statut (saisonnier, etc.) de l'intéressé (cf. notamment ATF 134 V 322 consid. 4.1 p. 325 s.; arrêts 8C_74472011 du 25 avril 2012 consid. 5.1, in SVR 2012 UV n° 26 p. 93, 9C_112/2012 du 19 novembre 2012 consid. 4.4). Sur ce point, c’est à juste titre que l’intimé s’est référé à la convention collective applicable au secteur du nettoyage. Il ressort en effet de la jurisprudence citée par la recourante elle-même (ATF 134 V 322 ss), plus particulièrement du considérant 4.2 de l’arrêt de notre Haute Cour, que celle-ci s’est certes référée, dans le cas d’espèce, aux salaires statistiques mais à ceux obtenus dans une branche d’activité bien définie (en l’occurrence, les positions 30 – 32) et non au salaire statistique moyen. La convention collective applicable au secteur du nettoyage – et donc à la recourante avant son invalidité – est donc la référence la plus adéquate pour juger de la question de savoir si son salaire correspondait à celui pratiqué usuellement dans sa profession. Or, tel est le cas puisqu’en 2011, cette convention prévoyait un salaire horaire de 18 fr. 20, correspondant précisément à celui perçu en 2010 par l’assurée selon les informations données par son employeur le 24 novembre 2010. C’est donc à juste titre que l’intimé a refusé d’appliquer en l’occurrence la parallélisation des revenus.</w:t>
      </w:r>
    </w:p>
    <w:p>
      <w:r>
        <w:rPr>
          <w:b/>
        </w:rPr>
        <w:t>E. 10</w:t>
      </w:r>
    </w:p>
    <w:p>
      <w:r>
        <w:t>Enfin, la recourante soutient que l’intimé aurait dû tenir compte de l’interaction de son activité de ménagère sur sa capacité de travail. A cet égard, elle allègue que, bien que soutenue par sa famille, elle doit se charger de la tenue de son ménage, ce qui exerce une influence certaine sur sa capacité de travail et diminue selon elle son rendement dans l’activité professionnelle de 15%. Cet argument de la recourante doit également être écarté. En effet, on ne voit pas que les efforts consentis dans la sphère ménagère (dans laquelle les empêchements n’ont été évalués qu’à 19%) puissent être tels qu’ils entraînent une diminution de rendement de 15% au niveau de l’activité professionnelle, dont on rappellera qu’elle ne serait exercée qu’à raison de 38%.</w:t>
      </w:r>
    </w:p>
    <w:p>
      <w:r>
        <w:rPr>
          <w:b/>
        </w:rPr>
        <w:t>E. 11</w:t>
      </w:r>
    </w:p>
    <w:p>
      <w:r>
        <w:t>Eu égard aux considérations qui précèdent, le recours, mal fondé, est rejeté.</w:t>
      </w:r>
    </w:p>
    <w:p>
      <w:r>
        <w:t>A/170/2013 - 10/10 -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