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ATAS/1281/2012 vom 18. Oktober 2012</w:t>
      </w:r>
    </w:p>
    <w:p>
      <w:r>
        <w:t>GE Cour de justice, 2012-10-18, FR</w:t>
      </w:r>
    </w:p>
    <w:p>
      <w:r>
        <w:rPr>
          <w:b/>
        </w:rPr>
        <w:t xml:space="preserve">Quelle: </w:t>
      </w:r>
      <w:r>
        <w:t>https://mcp.opencaselaw.ch/entscheid/ge_gerichte_ATAS_1281_2012</w:t>
      </w:r>
    </w:p>
    <w:p>
      <w:r>
        <w:t>FR: GE_GERICHTE ATAS/1281/2012 du 18 octobre 2012</w:t>
      </w:r>
    </w:p>
    <w:p>
      <w:r>
        <w:t>IT: GE_GERICHTE ATAS/1281/2012 del 18 ottobre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w:t>
      </w:r>
    </w:p>
    <w:p>
      <w:r>
        <w:rPr>
          <w:b/>
        </w:rPr>
        <w:t>E. 2</w:t>
      </w:r>
    </w:p>
    <w:p>
      <w:r>
        <w:t>Interjeté dans les délai et forme prescrits par la loi, le recours doit être déclaré recevable.</w:t>
      </w:r>
    </w:p>
    <w:p>
      <w:r>
        <w:rPr>
          <w:b/>
        </w:rPr>
        <w:t>E. 3</w:t>
      </w:r>
    </w:p>
    <w:p>
      <w:r>
        <w:t>et 4; ATF 120 V 272 consid. 2; ATFA H 217/96 du 12 mars 1997 consid. 2b).</w:t>
      </w:r>
    </w:p>
    <w:p>
      <w:r>
        <w:rPr>
          <w:b/>
        </w:rPr>
        <w:t>E. 4</w:t>
      </w:r>
    </w:p>
    <w:p>
      <w:r>
        <w:t>En l'espèce, l’administration fiscale a fixé le montant du capital propre investi à 544'278 fr.</w:t>
      </w:r>
    </w:p>
    <w:p>
      <w:r>
        <w:t>A/1974/2012 - 4/5 - Eu égard à la jurisprudence rappelée ci-dessus, tant la caisse de compensation que le juge des assurances sociales sont liés par les données retenues dans cette taxation. Le recourant n’allègue d’ailleurs pas avoir attaqué la taxation fiscale. C’est dès lors à juste titre que l'intimée s'est fondée sur les communications de l'AFC pour calculer le montant des cotisations dues par le recourant en 2009. En conséquence, le recours ne peut qu’être rejeté.</w:t>
      </w:r>
    </w:p>
    <w:p>
      <w:r>
        <w:t>A/1974/2012 - 5/5 -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