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ATAS/1280/2007 vom 21. November 2007</w:t>
      </w:r>
    </w:p>
    <w:p>
      <w:r>
        <w:t>GE Cour de justice, 2007-11-21, FR</w:t>
      </w:r>
    </w:p>
    <w:p>
      <w:r>
        <w:rPr>
          <w:b/>
        </w:rPr>
        <w:t xml:space="preserve">Quelle: </w:t>
      </w:r>
      <w:r>
        <w:t>https://mcp.opencaselaw.ch/entscheid/ge_gerichte_ATAS_1280_2007</w:t>
      </w:r>
    </w:p>
    <w:p>
      <w:r>
        <w:t>FR: GE_GERICHTE ATAS/1280/2007 du 21 novembre 2007</w:t>
      </w:r>
    </w:p>
    <w:p>
      <w:r>
        <w:t>IT: GE_GERICHTE ATAS/1280/2007 del 21 novembre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donc applicables.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La décision sur opposition du 15 novembre 2006 a été reçue par le recourant le 16 novembre 2006 et le délai de recours n'a commencé à courir que le lendemain de la réception (art. 38 al. 1 LPGA). De plus, les délais de recours sont suspendus du 18 décembre au 1er janvier inclusivement (art. 89C let. c de la loi cantonale genevoise sur la procédure administrative du 12 septembre 1985 (LPA) et 38 al. 4 let. c LPGA dans sa teneur jusqu'au 31 décembre 2006) de sorte que le délai de recours est arrivé à échéance le 4 janvier 2007. Interjeté dans les forme et délai prévus par la loi, le recours déposé le 22 décembre 2006 est recevable, en vertu des art. 56 ss LPGA.</w:t>
      </w:r>
    </w:p>
    <w:p>
      <w:r>
        <w:rPr>
          <w:b/>
        </w:rPr>
        <w:t>E. 4</w:t>
      </w:r>
    </w:p>
    <w:p>
      <w:r>
        <w:t>Le litige porte sur le degré d'invalidité du recourant et, partant, sur le droit à une rente entière de l'assurance-invalidité.</w:t>
      </w:r>
    </w:p>
    <w:p>
      <w:r>
        <w:t>A/4844/2006 - 8/19 -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Dès le 1er janvier 2004, l’assuré a droit à une rente entière s’il est invalide à 70 % au moins, à un trois-quarts de rente s'il est invalide à 60 % au moins, à une demi- 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w:t>
      </w:r>
    </w:p>
    <w:p>
      <w:r>
        <w:t>A/4844/2006 - 9/19 - (anamnèse), que la description des interférences médicales soit claire et, enfin, que les conclusions de l'expert soient bien motivées (ATF 125 V 351 consid. 3a).</w:t>
      </w:r>
    </w:p>
    <w:p>
      <w:r>
        <w:rPr>
          <w:b/>
        </w:rPr>
        <w:t>E. 7</w:t>
      </w:r>
    </w:p>
    <w:p>
      <w:r>
        <w:t>Dans sa décision sur opposition litigieuse, l'intimé considère que le recourant a une capacité de travail résiduelle de 0 % dans les travaux physiques et de 75 % dans les travaux de type plutôt intellectuels de gestion. En appliquant la méthode extraordinaire d'évaluation de l'invalidité et après avoir procédé à la comparaison des champs d'activité dont il résulte une incapacité de travail pondérée de 54.5 %, il retient une invalidité de 41 %. Pour sa part, le recourant allègue que les troubles mnésiques et de concentration ainsi qu'un état de fatigabilité associé à une thymie triste et déprimée l'entravent dans toute activité intellectuelle de sorte que son invalidité est totale. Sur le plan médical, l'intimé s'est essentiellement reposé sur les rapports du Dr C__________ que le recourant conteste partiellement, à savoir uniquement quant à la capacité résiduelle admise par ce spécialiste dans l'activité de gestion. Dans son rapport du 25 janvier 2005, ledit médecin estime que, malgré une amélioration de la mobilité de l'épaule gauche depuis l'arthrographie du 14 juillet 2004, l'activité de service qui représente le 90 % du travail du recourant n'est plus possible en raison d'une difficulté de préhension ainsi que d'une diminution de force et de dextérité de la main gauche. Il admet que le patient est, par contre, capable de poursuivre des activités de gestion et de supervision de son commerce, mais que celles-ci ne représentent que le 10 % de ses activités quotidiennes. En outre, dans son rapport du 10 juin 2004 concernant les capacités professionnelles, ce spécialiste conclut à une capacité de travail résiduelle probablement de l'ordre de 75 % dans une activité de service ou mono-manuelle avec charges légères. Il retient des limitations fonctionnelles dans la position à genoux, l'utilisation des deux bras ou mains, les mouvements du membre supérieur gauche, le travail en hauteur ou sur une échelle, enfin dans le mouvement de lever, porter ou déplacer des charges supérieures à 10 kilos. Aucun élément ne permet de douter de la pertinence de l'évaluation du Dr C__________ qui a procédé à l'appréciation de la capacité de travail du recourant en tenant compte du rapport d'examen neuropsychologique du 7 avril 2004. Il y a lieu de relever que son appréciation de la capacité résiduelle de travail du recourant semble même plutôt généreuse dès lors qu'elle repose sur la situation existant en juin 2004, soit avant l'arthrographie du 14 juillet 2004 qui a, toutefois, conduit à une amélioration de la mobilité de l'épaule gauche du recourant. Cette évolution favorable permet de douter que sa capacité de travail résiduelle dans une activité de service ou mono-manuelle avec charges légères soit toujours de 75 % et que l'activité de service soit toujours impossible puisque, même dans ce cas, le recourant peut exercer un certain nombre de gestes d'une seule main qu'il évite</w:t>
      </w:r>
    </w:p>
    <w:p>
      <w:r>
        <w:t>A/4844/2006 - 10/19 - cependant d'accomplir devant ses clients afin qu'ils ne se rendent pas compte de son handicap (cf. bilan d'ergothérapie du 14 mai 2004). Certes, dans son rapport du 2 novembre 2005, la Dresse D__________ considère qu'une reprise du travail est difficilement envisageable en raison des troubles de la mémoire et de la parésie du membre supérieur gauche. Toutefois, elle mentionne un état stationnaire ce qui contredit son appréciation de la capacité de travail dès lors que, pour le même état de santé, le Dr C__________ a admis une capacité de travail résiduelle de 75 % dans une activité adaptée sans admettre l'existence de tels troubles non documentés par l'examen neuropsychologique du 7 avril 2004. En réalité, la Dresse D__________ relate surtout la manière dont le recourant assume ses facultés de travail, sans examiner dans quelle mesure ses plaintes sont corroborées par des signes objectifs. A cet égard, il y a lieu d'établir la mesure de ce qui est raisonnablement exigible d'un assuré le plus objectivement possible. En effet, compte tenu des difficultés en matière de preuve, les simples plaintes subjectives de l'assuré ne suffisent pas pour justifier une invalidité (entière ou partielle; ATFA non publié du 30 novembre 2004, I 600/03, consid. 3.2). Par conséquent, ses considérations sont empreintes de son point de vue de médecin traitant. Or, le juge peut et doit tenir compte du fait que, selon l'expérience, le médecin traitant est généralement enclin, en cas de doute, à prendre parti pour son patient en raison de la relation de confiance qui l'unit à ce dernier (ATF 125 V 351 consid. 3b/bb et cc). Dès lors, l'appréciation du médecin traitant ne permet pas de douter des conclusions du Dr C__________. Enfin, le recourant prétend qu'il a été reconnu invalide à 100 % notamment en raison de troubles thymiques entraînant une fatigabilité, une difficulté de concentration et une acuité visuelle de l'œil gauche réduite. Il y a tout d'abord lieu de rappeler que, contrairement à ses allégations, le recourant n'a été reconnu comme incapable de travailler à 100 % que dans son activité de service, mais qu'au contraire, dans une activité adaptée, une capacité résiduelle de travail lui a été reconnue à raison de 75 %. De plus, même si le Dr C__________ fait effectivement état de tels troubles dans son rapport du 10 juin 2004, il ne les mentionne pas dans la rubrique constatations objectives de son rapport, à l'exception de l'acuité visuelle réduite, et il précise qu'ils sont susceptibles d'amélioration. Puis, dans son rapport du 25 janvier 2005, il n'en fait plus du tout mention ce qui confirme qu'ils n'ont pas d'incidence sur la capacité résiduelle de travail du recourant. Par conséquent, il y a lieu d'admettre qu'au moment de la décision sur opposition, la capacité résiduelle de travail du recourant était bien de 75 % dans une activité adaptée.</w:t>
      </w:r>
    </w:p>
    <w:p>
      <w:r>
        <w:rPr>
          <w:b/>
        </w:rPr>
        <w:t>E. 8</w:t>
      </w:r>
    </w:p>
    <w:p>
      <w:r>
        <w:t>Le recourant produit de nouveaux rapports médicaux pour justifier la thèse qu'il n'est plus du tout en mesure de travailler.</w:t>
      </w:r>
    </w:p>
    <w:p>
      <w:r>
        <w:t>A/4844/2006 - 11/19 - Dans un rapport d'examen neuropsychologique du 23 avril 2007, la neuropsychologue du service de neurologie des HUG relève, sur le plan du comportement notamment, une désinhibition et des signes manifestes de fatigue en fin de séance, un dysfonctionnement exécutif se manifestant par un défaut d'inhibition, des persévérations, un léger manque de flexibilité mentale et des difficultés de programmation, un trouble mnésique affectant la mémoire à court terme en modalité visuo-spatiale ainsi que la mémoire épisodique et à long terme dans les deux modalités (verbale et visuo-spatiale), des difficultés attentionnelles (distractibilité, difficultés en situation de doubles tâches). Elle indique que la symptomatologie neuropsychologique observée évoque une atteinte antérieure à prédominance droite séquellaire de l'AVC frontal droit et que, par ailleurs, une composante alcoolique accentue sans doute l'intensité du tableau. Elle conclut qu'outre les difficultés motrices connues au niveau du membre supérieur gauche, le profil neuropsychologique actuel compromet indéniablement et de façon sévère l'activité professionnelle du patient. Ce rapport ne procède à aucune évaluation précise de la capacité résiduelle de travail du recourant, mais se borne à indiquer de façon générale que le profil neuro- psychologique actuel compromet de façon sévère l'activité professionnelle du patient sans préciser si son appréciation concerne l'activité de tenancier de bar ou toute activité lucrative, ni expliquer en quoi toute activité lucrative ne serait pas exigible. En outre, il mentionne des signes manifestes de fatigue, un dysfonctionnement exécutif, un trouble mnésique et des difficultés attentionnelles, soit des troubles que l'examen neuro-psychologique pratiqué le 7 avril 2004 n'a pas mis en évidence de sorte qu'il peut tout au plus s'agir d'une péjoration de l'état de santé du recourant. En effet, lors de l'examen d'avril 2004, la psychologue du service de rééducation des HUG a fait état de performances normales pour les fonctions cognitives testées (calculs écrits, mémoire antérograde verbale et visuelle, fonctions exécutives, attention-concentration). Elle a précisé que le patient avait rencontré de la difficulté à gérer une épreuve de mémoire faisant directement suite à l'exposé de ses difficultés conjugales, qu'il était non fatigable en situation de testing et parfois légèrement familier. Contrairement à ce que conclut la neuropsychologue, qui ne précise toutefois pas si elle avait connaissance des résultats de l'examen du 7 avril 2004 au moment de son évaluation, les divergences de résultats entre les examens d'avril 2004 et 2007 rendent peu vraisemblables que les troubles qu'elle a mis en évidence soient des séquelles de l'AVC de septembre 2003. De plus, dans son rapport du 17 octobre 2005, le médecin traitant mentionne un état stationnaire, puis, dans celui du 2 février 2007, la Dresse D__________ fait part des soucis que lui cause le recourant en raison de troubles de concentration et de mémoire importants ainsi que d'un diabète qu'il a de plus en plus de peine à gérer sans préciser s'il s'agit de la manifestation d'une aggravation des séquelles de l'AVC ou des effets d'une consommation excessive d'alcool ainsi que le relève à juste titre le médecin-conseil de l'intimé dans son rapport du 6 juin 2007.</w:t>
      </w:r>
    </w:p>
    <w:p>
      <w:r>
        <w:t>A/4844/2006 - 12/19 - Dès lors, tant le rapport de la Dresse D__________ que celui de la neuropsychologue ne sont pas suffisamment précis et motivés pour admettre, sans autre, que le recourant présente une aggravation de son état de santé et il est inutile que le Tribunal de céans procède à une instruction complémentaire sur cette question. En effet, même si on devait retenir l'existence d'une telle aggravation séquellaire à l'AVC, elle serait de toute façon postérieure à la date de la décision sur opposition du 15 novembre 2006 puisque, selon les indications données par le médecin traitant dans son dernier rapport, ces nouveaux troubles ont été constatés manifestement au début de l'année 2007. Or,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Le recourant a néanmoins la possibilité de saisir l'administration d'une demande de révision de rente, s'il établit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 ATFA non publié du 14 février 2005, I 415/04, consid. 5).</w:t>
      </w:r>
    </w:p>
    <w:p>
      <w:r>
        <w:rPr>
          <w:b/>
        </w:rPr>
        <w:t>E. 9</w:t>
      </w:r>
    </w:p>
    <w:p>
      <w:r>
        <w:t>Il reste à déterminer le taux d'invalidité présenté par le recourant.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30 consid. 1, 104 V 136 consid. 2a et 2b). C'est la méthode ordinaire de comparaison des revenus (art. 28 al. 2 LAI en corrélation avec l'art. 16 LPGA).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w:t>
      </w:r>
    </w:p>
    <w:p>
      <w:r>
        <w:t>A/4844/2006 - 13/19 - déterminée d'après l'incapacité de gain (ATF 128 V 30 consid. 1, 104 V 136 consid. 2; VSI 1998 p. 122 consid. 1a et p. 257 consid. 2b).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Le revenu sans invalidité se détermine en règle générale d'après le dernier salaire que l'assuré a obtenu avant l'atteinte à la santé, en tenant compte de l'évolution des salaires jusqu'au moment du prononcé de la décision (ATF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(RCC 1985 p. 662 s. consid. 3a, 1981 p. 41 consid. 2; DUC, L'assurance-invalidité, in : Schweizerisches Bundesverwaltungsrecht, Soziale Sicherheit, 2ème édition, ch. 218 et note n° 269).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(ESS; ATF 126 V 76 consid. 3b/aa et bb).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A/4844/2006 - 14/19 -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w:t>
      </w:r>
    </w:p>
    <w:p>
      <w:r>
        <w:rPr>
          <w:b/>
        </w:rPr>
        <w:t>E. 10</w:t>
      </w:r>
    </w:p>
    <w:p>
      <w:r>
        <w:t>% Total 100 % 100%</w:t>
      </w:r>
    </w:p>
    <w:p>
      <w:r>
        <w:t>45 % A défaut de pouvoir disposer de renseignements concrets fiables sur le revenu qu'aurait pu réaliser le recourant au moment de la décision administrative litigieuse, il convient de se référer aux données salariales ressortant de l'ESS 2004 aussi bien pour établir le revenu sans invalidité qu'avec invalidité (ATFA non publié du</w:t>
      </w:r>
    </w:p>
    <w:p>
      <w:r>
        <w:rPr>
          <w:b/>
        </w:rPr>
        <w:t>E. 13</w:t>
      </w:r>
    </w:p>
    <w:p>
      <w:r>
        <w:t>janvier 2005, I 137/04, consid. 5.1.2 et 5.1.3). Eu égard à la formation du recourant, il y a lieu de prendre en considération le niveau 3 et la moyenne du Secteur Services 37 (activités de l'hôtellerie-restauration, économie domestique) de la table TA7 2004, soit un salaire mensuel pour homme de 4'264 fr., respectivement de 51'168 fr. par année. Pour 2005, il sied d'adapter ces chiffres en fonction de l'évolution des salaires de 2004 à 2005 (1.2 %; tableau T1.93_V hôtellerie et restau- ration) ce qui représente un revenu sans invalidité de 51'782 fr.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En conséquence, il est inutile d'adapter ces chiffres à l'horaire hebdomadaire de travail en 2004 et 2005. Quant au revenu d'invalide, il s'agit des mêmes salaires statistiques tenant compte d'une capacité résiduelle de travail de 50 % pour 2004 et de 55 % pour 2005 ce qui représente 25'584 fr. pour 2004 et 28'480 fr. pour 2005. L'intimé n'a pas tenu compte de l'abattement prévu par la jurisprudence en cas d'utilisation des salaires statistiques. Or, ainsi que le Tribunal de céans a déjà eu l'occasion de le juger, un tel abattement doit être également appliqué en cas d'utilisation de la méthode extraordinaire d'évaluation de l'invalidité dès lors que les limitations de l'assuré, sa capacité partielle de travail et la pratique d'activités légères impliquent un salaire moins élevé qu'un travailleur en bonne santé (cf. ATAS/958/2006 et ATFA non publié du 30 décembre 2003, I 238/03, consid. 5.2). Au vu de ces limitations, un abattement de 15 % est justifié de sorte que le revenu d'invalide s'élève à 21'746.40 fr. pour 2004 et à 24'208 fr. pour 2005.</w:t>
      </w:r>
    </w:p>
    <w:p>
      <w:r>
        <w:t>A/4844/2006 - 18/19 - Par conséquent, le taux d'invalidité est pour 2004 de 57.5 % (51'168 - 21'746.40 : 51'168) et pour 2005 de 53.25 % (51'782 - 24'208 : 51'782) de sorte que le recourant a droit à une demi-rente d'invalidité dès le 1er septembre 2004. Etant donné que le recourant n'a pas repris une activité à 75 % lui permettant de mettre pleinement en valeur sa capacité de travail résiduelle, contrairement à ce qui serait raisonnablement exigible de sa part, il appartiendra à l'intimé d'examiner, dans le cadre de la procédure de révision de la rente, à partir de quelle date on peut exiger de l'assuré qu'il remette son entreprise et change de profession. Dès cette date le revenu hypothétique d'invalide pourra être calculé sur le tableau TA1 des ESS concernant les activités simples et répétitives (toutes branches économique confondues). En effet, au regard du large éventail d'activités de ce type que recouvrent les secteurs de la production et des services, on doit convenir qu'un certain nombre d'entre elles sont adaptées au handicap dont souffre l'assuré (ATFA non publié du 6 décembre 2005, I 670/04, consid. 6.3). Par ailleurs, ces activités ne nécessitent aucune formation particulière autre qu'une mise au courant initiale (cf. ATFA non publié du 27 décembre 2005, I 727/05, consid. 3.2). 11. Au vu de ce qui précède, le recours sera admis et la décision sur opposition du</w:t>
      </w:r>
    </w:p>
    <w:p>
      <w:r>
        <w:rPr>
          <w:b/>
        </w:rPr>
        <w:t>E. 15</w:t>
      </w:r>
    </w:p>
    <w:p>
      <w:r>
        <w:t>novembre 2006 sera annulée. Le recourant obtenant partiellement gain de cause, une indemnité de 1'000 fr. lui sera accordée à titre de participation à ses frais et dépens (art. 61 let. g LPGA). Au vu du sort du recours, il y a lieu de condamner l'intimé au paiement d'un émolument de 500 fr.</w:t>
      </w:r>
    </w:p>
    <w:p>
      <w:r>
        <w:t>A/4844/2006 - 19/19 -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