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ATAS/127/2015 vom 16. Februar 2015</w:t>
      </w:r>
    </w:p>
    <w:p>
      <w:r>
        <w:t>GE Cour de justice, 2015-02-16, FR</w:t>
      </w:r>
    </w:p>
    <w:p>
      <w:r>
        <w:rPr>
          <w:b/>
        </w:rPr>
        <w:t xml:space="preserve">Quelle: </w:t>
      </w:r>
      <w:r>
        <w:t>https://mcp.opencaselaw.ch/entscheid/ge_gerichte_ATAS_127_2015</w:t>
      </w:r>
    </w:p>
    <w:p>
      <w:r>
        <w:t>FR: GE_GERICHTE ATAS/127/2015 du 16 février 2015</w:t>
      </w:r>
    </w:p>
    <w:p>
      <w:r>
        <w:t>IT: GE_GERICHTE ATAS/127/2015 del 16 febbraio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Selon l'art. 52 al. 1 LPGA, les décisions peuvent être attaquées dans les trente jours par voie d'opposition auprès de l'assureur qui les a rendues.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w:t>
      </w:r>
    </w:p>
    <w:p>
      <w:r>
        <w:t>A/4032/2014 - 3/5 -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w:t>
      </w:r>
    </w:p>
    <w:p>
      <w:r>
        <w:rPr>
          <w:b/>
        </w:rPr>
        <w:t>E. 3</w:t>
      </w:r>
    </w:p>
    <w:p>
      <w:r>
        <w:t>Force est dès lors de constater que l’opposition formée le 17 décembre 2014 n’est pas intervenue dans le délai légal.</w:t>
      </w:r>
    </w:p>
    <w:p>
      <w:r>
        <w:rPr>
          <w:b/>
        </w:rPr>
        <w:t>E. 4</w:t>
      </w:r>
    </w:p>
    <w:p>
      <w:r>
        <w:t>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w:t>
      </w:r>
    </w:p>
    <w:p>
      <w:r>
        <w:t>A/4032/2014 - 4/5 - Confédération [JAAC] 60/1996, consid. 5.4, p. 367; ATF 119 II 87 consid. 2a; ATF 112 V 256 consid. 2a). En l'espèce, une restitution du délai de recours au sens de l'art. 41 al. 1 LPGA ne se justifie pas. En effet, le recourant n'invoque aucun motif légal qui l'aurait empêché d'agir dans le délai et pouvant justifier une restitution du délai. En l'absence de motif valable de restitution de délai, c'est dès lors à juste titre que l'intimé a qualifié l'opposition d'irrecevable pour cause de tardiveté. Le recours doit donc être rejeté.</w:t>
      </w:r>
    </w:p>
    <w:p>
      <w:r>
        <w:rPr>
          <w:b/>
        </w:rPr>
        <w:t>E. 5</w:t>
      </w:r>
    </w:p>
    <w:p>
      <w:r>
        <w:t>Par ailleurs, selon l'art 89B al. 1 de la Loi cantonale genevoise de procédure administrative (LPA), l'acte de recours est adressé à la chambre de céans soit par une lettre, soit par un mémoire signé.</w:t>
      </w:r>
    </w:p>
    <w:p>
      <w:r>
        <w:rPr>
          <w:b/>
        </w:rPr>
        <w:t>E. 6</w:t>
      </w:r>
    </w:p>
    <w:p>
      <w:r>
        <w:t>A cet égard, un recours interjeté par courrier non signé ne satisfait pas à cette exigence (ATF 121 II 252). Si la lettre ou le mémoire n'est pas conforme, la chambre de céans impartit un délai convenable à son auteur pour le compléter en indiquant qu'en cas d'inobservation la demande ou le recours est écarté. En l'occurrence, un délai de douze jours a été fixé au recourant pour retourner son courrier dûment signé.</w:t>
      </w:r>
    </w:p>
    <w:p>
      <w:r>
        <w:rPr>
          <w:b/>
        </w:rPr>
        <w:t>E. 7</w:t>
      </w:r>
    </w:p>
    <w:p>
      <w:r>
        <w:t>Il ne s'est pas manifesté dans ce délai.</w:t>
      </w:r>
    </w:p>
    <w:p>
      <w:r>
        <w:rPr>
          <w:b/>
        </w:rPr>
        <w:t>E. 8</w:t>
      </w:r>
    </w:p>
    <w:p>
      <w:r>
        <w:t>L’acte de recours non signé, qui ne comporte pas sa signature manuscrite originale, n’est pas conforme aux dispositions qui précèdent, de sorte que le recours doit être déclaré irrecevable.</w:t>
      </w:r>
    </w:p>
    <w:p>
      <w:r>
        <w:rPr>
          <w:b/>
        </w:rPr>
        <w:t>E. 9</w:t>
      </w:r>
    </w:p>
    <w:p>
      <w:r>
        <w:t>Compte tenu de l’issue de la procédure, il sera renoncé à la perception d’un émolument.</w:t>
      </w:r>
    </w:p>
    <w:p>
      <w:r>
        <w:t>A/4032/2014 - 5/5 -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