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ATAS/127/2011 vom 9. Februar 2011</w:t>
      </w:r>
    </w:p>
    <w:p>
      <w:r>
        <w:t>GE Cour de justice, 2011-02-09, FR</w:t>
      </w:r>
    </w:p>
    <w:p>
      <w:r>
        <w:rPr>
          <w:b/>
        </w:rPr>
        <w:t xml:space="preserve">Quelle: </w:t>
      </w:r>
      <w:r>
        <w:t>https://mcp.opencaselaw.ch/entscheid/ge_gerichte_ATAS_127_2011</w:t>
      </w:r>
    </w:p>
    <w:p>
      <w:r>
        <w:t>FR: GE_GERICHTE ATAS/127/2011 du 9 février 2011</w:t>
      </w:r>
    </w:p>
    <w:p>
      <w:r>
        <w:t>IT: GE_GERICHTE ATAS/127/2011 del 9 febbraio 2011</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- 6/10-</w:t>
      </w:r>
    </w:p>
    <w:p>
      <w:r>
        <w:t>A/200/2010 générale du droit des assurances sociales du 6 octobre 2000 (LPGA) qui sont relatives à la loi fédérale sur l’assurance-invalidité du 19 juin 1959 (LAI).</w:t>
      </w:r>
    </w:p>
    <w:p>
      <w:r>
        <w:t>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sur le plan psychiatrique, constituent une invalidité au sens de l’AI engendrant une incapacité totale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C__________.</w:t>
      </w:r>
    </w:p>
    <w:p>
      <w:r>
        <w:rPr>
          <w:b/>
        </w:rPr>
        <w:t>E. 5</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w:t>
      </w:r>
    </w:p>
    <w:p>
      <w:r>
        <w:rPr>
          <w:b/>
        </w:rPr>
        <w:t>E. 6</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t>- 7/10-</w:t>
      </w:r>
    </w:p>
    <w:p>
      <w:r>
        <w:t>A/200/2010</w:t>
      </w:r>
    </w:p>
    <w:p>
      <w:r>
        <w:rPr>
          <w:b/>
        </w:rPr>
        <w:t>E. 7</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rPr>
          <w:b/>
        </w:rPr>
        <w:t>E. 8</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9</w:t>
      </w:r>
    </w:p>
    <w:p>
      <w:r>
        <w:t>En l'espèce, le Tribunal constate que les doutes émis par la recourante au sujet de la valeur probante de l’examen clinique du SMR du 29 juin 2009 effectué par le Dr P__________ sur lequel se base notamment l’OAI sont justifiées. En effet, l’examen clinique du SMR mentionné ci-dessus conclut à une capacité de 100% aussi bien dans l’activité habituelle que dans une activité adaptée alors que, selon le Dr. L__________ et le Dr N__________, médecins traitants, l’incapacité de travail de la recourante est de 100% en raison notamment de stress post-traumatique et de trouble dépressif.</w:t>
      </w:r>
    </w:p>
    <w:p>
      <w:r>
        <w:rPr>
          <w:b/>
        </w:rPr>
        <w:t>E. 10</w:t>
      </w:r>
    </w:p>
    <w:p>
      <w:r>
        <w:t>Par conséquent, vu la jurisprudence susmentionnée, vu le doute résultant des avis médicaux divergents, il y a lieu d'ordonner une expertise psychiatrique de la recourante.</w:t>
      </w:r>
    </w:p>
    <w:p>
      <w:r>
        <w:t>A cet effet, le Tribunal ordonne une expertise et en confie le mandat au Dr O__________, spécialiste FMH psychiatrie et psychothérapie.</w:t>
      </w:r>
    </w:p>
    <w:p>
      <w:r>
        <w:t>En application des articles 38 et suivants de la loi sur la procédure administrative (LPA), un délai de 10 jours a été accordé aux parties pour indiquer les questions</w:t>
      </w:r>
    </w:p>
    <w:p>
      <w:r>
        <w:t>- 8/10-</w:t>
      </w:r>
    </w:p>
    <w:p>
      <w:r>
        <w:t>A/200/2010 particulières qu'elles souhaitent voir figurer dans la mission d'expertise, ainsi que pour se déterminer sur le nom de l’expert.</w:t>
      </w:r>
    </w:p>
    <w:p>
      <w:r>
        <w:rPr>
          <w:b/>
        </w:rPr>
        <w:t>E. 11</w:t>
      </w:r>
    </w:p>
    <w:p>
      <w:r>
        <w:t>L’OAI a informé, par courrier du 14 décembre 2010, qu’il n’avait pas d’observation particulière à formuler quant au choix de l’expert et a souhaité, si l’expert s’écarte de l’avis du Dr. P__________, qu’il en explique les raisons.</w:t>
      </w:r>
    </w:p>
    <w:p>
      <w:r>
        <w:t>Pour sa part, la recourante a approuvé la désignation de l’expert en élevant aucune objection aux questions proposées et en sollicitant aucune autre question.</w:t>
      </w:r>
    </w:p>
    <w:p>
      <w:r>
        <w:t>- 9/10-</w:t>
      </w:r>
    </w:p>
    <w:p>
      <w:r>
        <w:t>A/200/2010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