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ATAS/1279/2010 vom 8. Dezember 2010</w:t>
      </w:r>
    </w:p>
    <w:p>
      <w:r>
        <w:t>GE Cour de justice, 2010-12-08, FR</w:t>
      </w:r>
    </w:p>
    <w:p>
      <w:r>
        <w:rPr>
          <w:b/>
        </w:rPr>
        <w:t xml:space="preserve">Quelle: </w:t>
      </w:r>
      <w:r>
        <w:t>https://mcp.opencaselaw.ch/entscheid/ge_gerichte_ATAS_1279_2010</w:t>
      </w:r>
    </w:p>
    <w:p>
      <w:r>
        <w:t>FR: GE_GERICHTE ATAS/1279/2010 du 8 décembre 2010</w:t>
      </w:r>
    </w:p>
    <w:p>
      <w:r>
        <w:t>IT: GE_GERICHTE ATAS/1279/2010 del 8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a) Sur le plan matériel, le point de savoir quel droit s'applique doit être tranché à la lumière du principe selon lequel les règles applicables sont celles en vigueur au</w:t>
      </w:r>
    </w:p>
    <w:p>
      <w:r>
        <w:t>A/4004/2009 - 10/15 -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jour de sa modification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b) En l'espèce, l'objet du litige porte sur le droit à une rente d'invalidité à compter d'avril 2007 et le droit aux rentes complémentaires pour enfants dès décembre 2006. Partant, les modifications de la LAI du 6 octobre 2006 (5ème révision de la LAI), sont applicables pour l'appréciation du droit aux prestations à partir de leur entrée en vigueur en date du 1er janvier 2008. Jusqu'à cette date, l'ancien droit s'applique.</w:t>
      </w:r>
    </w:p>
    <w:p>
      <w:r>
        <w:rPr>
          <w:b/>
        </w:rPr>
        <w:t>E. 3</w:t>
      </w:r>
    </w:p>
    <w:p>
      <w:r>
        <w:t>La décision dont est recours a été annulée et remplacée par une nouvelle décision datée du 8 janvier 2010, par laquelle l'intimé a tenu compte des bonifications pour tâches éducatives et ainsi augmenté le montant de la rente, tout en maintenant le droit à un quart de rente dès le 1er avril 2007 et en refusant d'octroyer des rentes complémentaires pour enfant. Se pose dès lors la question de savoir si le recours est devenu sans objet. a)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w:t>
      </w:r>
    </w:p>
    <w:p>
      <w:r>
        <w:t>A/4004/2009 - 11/15 -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 En l'espèce, la nouvelle décision de l'intimé n'a pas vidé l'objet du litige. En effet, reste toujours litigieuse la question du degré d'invalidité à compter d'avril 2007 et des rentes complémentaires pour enfant. Le recours n'est ainsi pas devenu sans objet.</w:t>
      </w:r>
    </w:p>
    <w:p>
      <w:r>
        <w:rPr>
          <w:b/>
        </w:rPr>
        <w:t>E. 4</w:t>
      </w:r>
    </w:p>
    <w:p>
      <w:r>
        <w:t>Le recours a été interjeté dans les délai et forme prescrits par la loi contre les décisions du 7 octobre 2009 (art. 56 ss LPGA). Il comporte, entre autres, des conclusions en constatation de droit. A cet égard, il y a lieu de relever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plutôt qu'en se prolongeant, elle empêche le demandeur de prendre ses décisions et qu'elle lui soit, de ce fait, insupportable (ATF 122 III 279 consid. 3a p. 282; 120 II 20 consid. 3 p. 22; 114 II 253 consid. 2a p. 255; 110 II 352 consid. 2 p. 357; ATFA du 26 février 2003, cause 5C.246/2002). En l'espèce, la recourante peut demander directement les prestations d'assurance, comme elle l'a par ailleurs également fait dans son recours. Par conséquent, ses conclusions en constatation de droit ne sont pas recevables. Toutefois, la recevabilité du recours doit être admise en ce qu'il tend à l'octroi d'une rente d'invalidité supérieure à un quart et de rentes complémentaires pour enfant.</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w:t>
      </w:r>
    </w:p>
    <w:p>
      <w:r>
        <w:t>A/4004/2009 - 12/15 -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L'année de référence pour le calcul de la perte gain est celle dans laquelle la rente a été supprimée (ATF 121 V 366 consid. 1b).</w:t>
      </w:r>
    </w:p>
    <w:p>
      <w:r>
        <w:rPr>
          <w:b/>
        </w:rPr>
        <w:t>E. 6</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A/4004/2009 - 13/15 -</w:t>
      </w:r>
    </w:p>
    <w:p>
      <w:r>
        <w:rPr>
          <w:b/>
        </w:rPr>
        <w:t>E. 7</w:t>
      </w:r>
    </w:p>
    <w:p>
      <w:r>
        <w:t>a) Selon l'art. 28 al. 1 LAI, dans sa teneur valable dès le 1er janvier 2008,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L'art. 29 al. 1 LAI, valable jusqu'au 31 décembre 2007, prévoit également que le droit à la rente prend naissance dès que l'assuré a présenté une incapacité de travail d’au moins 40 % en moyenne durant une année sans interruption notable et qu'il est en incapacité de travail à 40% au moins. Aux termes de l'art. 29 al. 2 aLAI, la rente est allouée dès le début du mois au cours duquel le droit à la rente a pris naissance, sous réserve de l'art. 48 al. 2 aLAI, selon lequel les prestations ne seront allouées que pour les 12 mois précédant le dépôt de la demande, si l'assuré présente sa demande plus de 12 mois après la naissance du droit. b) Conformément à l'art. 28 al. 1er LAI, dans sa teneur en vigueur du 1er janvier 2004 au 31 décembre 2007, et à l’art.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En l’espèce, les parties ont trouvé un accord en ce qui concerne le degré d’incapacité de travail et admettent que celui-ci est de 60 % à compter d'avril 2007 dans toute activité et aussi dans l'emploi exercé avant la survenance de l'accident. Elles acceptent donc de considérer que l'état de santé de la recourante s'est amélioré dès avril 2007. Dès lors que la recourante est encore capable d’exercer l’activité antérieure d’employée de maison au taux de 40%, son degré d’incapacité de travail se confond en principe avec son degré d’invalidité, sous réserve d'une diminution supplémentaire pour tenir compte du handicap, de l'âge, de la nationalité et du taux d'occupation (cf. ATF 126 V 78 consid. 5). En l'espèce, une diminution de 10% du salaire d’invalide réalisé à 40 % peut se justifier au maximum, vu les limitations fonctionnelles et la nationalité de la recourante. Le degré d’invalidité s'établit ainsi à 64 %. Cela ouvre le droit à un trois-quarts de rente. La recourante demande que la comparaison de gain, pour établir son degré d'invalidité, soit effectuée avec le salaire annuel de 40'800 fr. des employés domestiques, activité qu'elle exerce à 20% depuis septembre 2009. Cette question peut toutefois rester ouverte. En effet, il appert que la perte de gain ne dépasse pas 61,6% dans cette hypothèse, ce qui est insuffisant pour prétendre à une rente entière.</w:t>
      </w:r>
    </w:p>
    <w:p>
      <w:r>
        <w:t>A/4004/2009 - 14/15 -</w:t>
      </w:r>
    </w:p>
    <w:p>
      <w:r>
        <w:rPr>
          <w:b/>
        </w:rPr>
        <w:t>E. 9</w:t>
      </w:r>
    </w:p>
    <w:p>
      <w:r>
        <w:t>Dans la mesure où il est admis par les parties, sur la base des rapports du Dr L___________, que l'état de santé de la recourante s'est amélioré dès avril 2007 et qu'elle a recouvré à cette date une capacité de travail de 40%, il sied de prendre en compte cette amélioration trois mois après sa survenance, conformément à l'art. 88a al. 1 RAI précité, soit dès le 1er juillet 2007. Par conséquent, il convient d'octroyer à la recourante une rente entière jusqu'à cette date, puis un trois-quarts de rente.</w:t>
      </w:r>
    </w:p>
    <w:p>
      <w:r>
        <w:rPr>
          <w:b/>
        </w:rPr>
        <w:t>E. 10</w:t>
      </w:r>
    </w:p>
    <w:p>
      <w:r>
        <w:t>a) En ce qui concerne les rentes complémentaires pour enfants, l’art. 35 al. 1 LAI prescrit que les personnes qui peuvent prétendre à une rente d’invalidité ont droit à une rente pour chacun des enfants qui, au décès de ces personnes, auraient droit à une rente d’orphelin de l’assurance-vieillesse et survivants. L’art. 6 al. 2 LAI restreint cependant le droit aux rentes des enfants domiciliés à l’étranger, en prévoyant qu’aucune prestation n’est allouée aux proches des étrangers qui sont domiciliés hors de Suisse. b) Cela étant, c’est à raison que l’intimé a refusé le droit à une rente complémentaire pour enfant à la recourante, en l'absence d'une convention internationale sur la sécurité sociale entre la Suisse et la Bolivie. c) En ce qui concerne le fait qu'un des enfants de la recourante l’ait rejointe le</w:t>
      </w:r>
    </w:p>
    <w:p>
      <w:r>
        <w:rPr>
          <w:b/>
        </w:rPr>
        <w:t>E. 14</w:t>
      </w:r>
    </w:p>
    <w:p>
      <w:r>
        <w:t>janvier 2010, il convient de constater qu’il s’agit d’un fait nouveau intervenu après la notification de la décision du 7 octobre 2009 dont est recours. Partant, il ne peut en être tenu compte dans le cadre de cette procédure. Il appartiendra toutefois à l’intimé de se prononcer à nouveau sur le droit à une rente complémentaire pour cette fille, à partir du moment où celle-ci est venue en Suisse. 11. Au vu de ce qui précède, le recours sera partiellement admis et la décision concernant les prestations à compter du 1er avril 2007 annulée. La recourante sera par ailleurs mise au bénéfice d'une rente entière du 1er avril jusqu'au 30 juin 2007, puis d'un trois-quarts de rente dès cette date. Un fait nouveau étant survenu, consistant dans l'arrivée d'un des enfants de la recourante en Suisse, il y a en outre lieu de renvoyer la cause à l'intimé pour nouvelle décision sur ce point. 12. La recourante obtenant gain de cause en large partie, une indemnité de 1'500 fr. lui est octroyée à titre de dépens. 13. Au vu de l’issue du recours, l’émolument de justice, fixé à 200 fr., est mis à la charge de l’intimé.</w:t>
      </w:r>
    </w:p>
    <w:p>
      <w:r>
        <w:t>A/4004/2009 - 15/15 -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