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ATAS/1277/2013 vom 18. Dezember 2013</w:t>
      </w:r>
    </w:p>
    <w:p>
      <w:r>
        <w:t>GE Cour de justice, 2013-12-18, FR</w:t>
      </w:r>
    </w:p>
    <w:p>
      <w:r>
        <w:rPr>
          <w:b/>
        </w:rPr>
        <w:t xml:space="preserve">Quelle: </w:t>
      </w:r>
      <w:r>
        <w:t>https://mcp.opencaselaw.ch/entscheid/ge_gerichte_ATAS_1277_2013</w:t>
      </w:r>
    </w:p>
    <w:p>
      <w:r>
        <w:t>FR: GE_GERICHTE ATAS/1277/2013 du 18 décembre 2013</w:t>
      </w:r>
    </w:p>
    <w:p>
      <w:r>
        <w:t>IT: GE_GERICHTE ATAS/1277/2013 del 18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litige porte sur le droit du recourant à une rente entière d’invalidité postérieurement au 28 février 2011, singulièrement sur sa capacité de travail.</w:t>
      </w:r>
    </w:p>
    <w:p>
      <w:r>
        <w:rPr>
          <w:b/>
        </w:rPr>
        <w:t>E. 2.1</w:t>
      </w:r>
    </w:p>
    <w:p>
      <w:r>
        <w:t>et Message concernant la modification de la loi fédérale sur l'assurance- invalidité du 22 juin 2005, FF 2005 p. 4322).</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le droit éventuel aux prestations dès le 28 février 2011 doit être examiné au regard des modifications apportées par la 5èmerévision de la LAI jusqu’au 31 décembre 2011 et dès le 1er janvier 2012, en fonction des modifications consécutives à la révision 6a, dans la mesure de leur pertinence (ATF 130 V 445 et les références; voir également ATF 130 V 329). Cela étant, ces novelles n'ont pas amené de modifications substantielles en matière d'évaluation de l'invalidité (ATFA non publié I 249/05 du 11 juillet 2006, consid.</w:t>
      </w:r>
    </w:p>
    <w:p>
      <w:r>
        <w:rPr>
          <w:b/>
        </w:rPr>
        <w:t>E. 4</w:t>
      </w:r>
    </w:p>
    <w:p>
      <w:r>
        <w:t>Interjeté dans les forme et délai prévus par la loi, le présent recours est recevable (art. 56 à 61 LPGA), sous réserve de ce qui suit (cf. consid. 11).</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w:t>
      </w:r>
    </w:p>
    <w:p>
      <w:r>
        <w:t>A/2327/2013 - 9/17 -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rPr>
          <w:b/>
        </w:rPr>
        <w:t>E. 6</w:t>
      </w:r>
    </w:p>
    <w:p>
      <w:r>
        <w:t>Il convient tout d’abord de déterminer si l’état de santé du recourant s’est amélioré depuis le mois de novembre 2010, comme retenu par l’intimé.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w:t>
      </w:r>
    </w:p>
    <w:p>
      <w:r>
        <w:t>A/2327/2013 - 10/17 -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A/2327/2013 - 11/17 -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a) En l’occurrence, l’intimé a considéré qu’entre le 27 juin 2006 et le 12 novembre 2010, le recourant était en incapacité totale de travail dans toutes les activités lucratives, toutefois, dès le 12 novembre 2010, sa capacité de travail était à nouveau entière dans une activité adaptée. b) Pour arriver à cette conclusion, il s’est essentiellement fondé sur les rapports des Drs E_________ et D_________ ainsi que sur celui des EPI. Premièrement, dans son rapport du 11 mars 2011, le Dr E_________, médecin d’arrondissement de l’assureur-accidents, a retenu un status après une arthrodèse</w:t>
      </w:r>
    </w:p>
    <w:p>
      <w:r>
        <w:t>A/2327/2013 - 12/17 - sous-astragalienne consolidée, avec toutefois une limitation douloureuse de la mobilité de l’arrière-pied de la cheville sur un status après une arthrodèse sous- astragalienne ainsi que quelques légers signes irritatifs du genou droit et un syndrome vertébral lombaire modéré, sans manifestations radiculaires. Il a conclu qu’au vu des séquelles de l’accident, le recourant ne pouvait plus exercer son activité sur les chantiers, mais que sa capacité de travail était vraisemblablement entière dans une activité sédentaire, permettant des changements de positions ou n’exigeant que de courts déplacements. La Cour de céans constate que ce rapport a été établi, suite à une prise de connaissance du dossier du recourant, un examen clinique de celui-ci, une radiographie effectuée le jour même de l’examen (11 mars 2011) et en tenant compte des déclarations et plaintes du recourant. Les constatations objectives ont été clairement exposées et les explications convaincantes. Enfin, rien ne permet de douter de l’indépendance du médecin d’arrondissement de l’assureur-accidents, de sorte que son rapport doit se voir reconnaître valeur probante au sens de la jurisprudence. Par ailleurs, il sera relevé que le Dr E_________ a notamment pris en considération les rapports antérieurs (24 janvier et 9 février 2011) du Dr D_________, lequel s’est fondé sur des radiographies effectuées le 12 novembre 2010, pour conclure à la consolidation de l’arthrodèse sous-talienne ainsi qu’au fait que la dernière intervention du 22 juillet 2010 avait porté ses fruits. Toutefois, il convenait, d’après lui, de déterminer les capacités professionnelles du recourant, bien qu’il n’y ait en théorie aucune restriction à prévoir sur le plan mécanique au niveau de cette arthrodèse, qui était guérie. Le 9 février 2011, il a également estimé que la situation était stabilisée et que la capacité de travail du recourant était entière dans une activité sans travail de force. Compte tenu des rapports de ces deux spécialistes, le médecin du SMR a déterminé, en date du 18 mars 2011, que dès la consolidation de l’arthrodèse en date du</w:t>
      </w:r>
    </w:p>
    <w:p>
      <w:r>
        <w:rPr>
          <w:b/>
        </w:rPr>
        <w:t>E. 12</w:t>
      </w:r>
    </w:p>
    <w:p>
      <w:r>
        <w:t>Le recours sera ainsi rejeté et la cause renvoyée à l’intimé pour examiner le droit aux intérêts moratoires et pour nouvelle décision sur ce point.</w:t>
      </w:r>
    </w:p>
    <w:p>
      <w:r>
        <w:rPr>
          <w:b/>
        </w:rPr>
        <w:t>E. 13</w:t>
      </w:r>
    </w:p>
    <w:p>
      <w:r>
        <w:t>La procédure de recours en matière de contestations portant sur l’octroi ou le refus de prestations de l’AI étant soumise à des frais de justice (art. 69 al. bis LAI et 89H al. 4 LPA), un émolument de 200 fr. sera mis à la charge du recourant.</w:t>
      </w:r>
    </w:p>
    <w:p>
      <w:r>
        <w:t>***</w:t>
      </w:r>
    </w:p>
    <w:p>
      <w:r>
        <w:t>A/2327/2013 - 17/17 -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