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ATAS/1277/2012 vom 23. Oktober 2012</w:t>
      </w:r>
    </w:p>
    <w:p>
      <w:r>
        <w:t>GE Cour de justice, 2012-10-23, FR</w:t>
      </w:r>
    </w:p>
    <w:p>
      <w:r>
        <w:rPr>
          <w:b/>
        </w:rPr>
        <w:t xml:space="preserve">Quelle: </w:t>
      </w:r>
      <w:r>
        <w:t>https://mcp.opencaselaw.ch/entscheid/ge_gerichte_ATAS_1277_2012</w:t>
      </w:r>
    </w:p>
    <w:p>
      <w:r>
        <w:t>FR: GE_GERICHTE ATAS/1277/2012 du 23 octobre 2012</w:t>
      </w:r>
    </w:p>
    <w:p>
      <w:r>
        <w:t>IT: GE_GERICHTE ATAS/1277/2012 del 23 ottobre 2012</w:t>
      </w:r>
    </w:p>
    <w:p>
      <w:pPr>
        <w:pStyle w:val="Heading2"/>
      </w:pPr>
      <w:r>
        <w:t>Erwägungen</w:t>
      </w:r>
    </w:p>
    <w:p>
      <w:r>
        <w:rPr>
          <w:b/>
        </w:rPr>
        <w:t>E. 15</w:t>
      </w:r>
    </w:p>
    <w:p>
      <w:r>
        <w:t>Sur ce, la cause a été gardée à juger. EN DROIT 1.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w:t>
      </w:r>
    </w:p>
    <w:p>
      <w:r>
        <w:t>A/899/2012 - 6/11 - sociale prévue par la LAMal, relevant de la loi fédérale sur le contrat d'assurance, du 2 avril 1908 (loi sur le contrat d’assurance, LCA; RS 221.229.1). Sa compétence à raison de la matière pour juger du cas d’espèce est ainsi établie. La demanderesse étant domiciliée à Genève, la Cour est également compétente à raison du lieu (art. 17 CPC, art. 29 al. 2 CGA de 2005). 2. La cause n'est pas soumise à une tentative obligatoire de conciliation (cf. ATAS/577/2011 du 31 mai 2011). Pour le surplus, la demande répond aux réquisits légaux de forme (art. 130, 244 CPC). Elle est donc recevable. 3. La procédure simplifiée s'applique (art. 243 al. 2 let. f CPC), et la Cour établit les faits d'office (art. 247 al. 2 let. a CPC). 4. À titre liminaire, il convient de se pencher sur la capacité pour défendre de MUTUEL ASSURANCES SA. a) La question de la qualité pour défendre relève, comme dans un procès civil, du fondement matériel de l'action (ATF non publié du 30 décembre 2003, B 59/03,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ATF 114 II 345, consid. 3a). Cela étant, il convient de ne pas perdre de vue que la notion de "droit matériel", reprise du droit privé, ou de "droits subjectifs", ne s'intègre pas bien dans la systématique propre du droit public, et elle ne correspond pas non plus aux besoins de protection judiciaire des particuliers à l'encontre de l'administration. Certes, par la décision, celle-ci entre dans un rapport juridique particulier avec tel ou tel administré. Mais elle est tenue par des obligations générales qui ont pour objet de déterminer le contenu de la décision : principes de la légalité, de l'intérêt public, de la proportionnalité, prohibition de l'arbitraire et de l'inégalité de traitement. Ces obligations sont générales, en ce qu'elles s'imposent à l'administration même en l'absence de tout subjectif correspondant (MOOR, Droit administratif, Vol. II, Berne 2002, pp. 619 ss). b) En l'occurrence, la demanderesse a assigné AVENIR, considérant qu'elle était débitrice des frais liés à son intervention chirurgicale du 21 novembre 2011. Elle a à cet égard expliqué qu'elle avait assigné AVENIR en lieu et place de MUTUEL car le libellé et le contenu des courriers échangés avec AVENIR prêtaient à</w:t>
      </w:r>
    </w:p>
    <w:p>
      <w:r>
        <w:t>A/899/2012 - 7/11 - confusion. Il y a en effet lieu de constater que ces deux entités sont membres du même groupe, ont leur siège au même endroit, et qu'AVENIR s'était prononcée seule sur le présent litige, avec son papier en-tête, alors que celui-ci relève en réalité de la sphère de MUTUEL. Ce n'est que dans le cadre du recours que MUTUEL s'est prononcée pour la première fois. En tant qu'elle est dirigée contre AVENIR, la demande en paiement devrait être rejetée, l'assurance maladie ne disposant pas de la légitimation passive. Toutefois, MUTUEL, dans sa réponse du 18 mai 2012, a tacitement acquiescé à une substitution des parties au sens de l'art. 6 CPC. Dans cette mesure, la Cour de céans admettra la demande en paiement en ce sens qu'elle est dirigée contre MUTUEL. 5. L'assurance en cause est soumise à la LCA, ce qui est confirmé par l’art. 1.2 CGA. 6. Le litige porte sur la prise en charge par l'assurance complémentaire d'hospitalisation de la demanderesse de son séjour en division semi-privée lors de sa réduction mammaire. 7.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8.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w:t>
      </w:r>
    </w:p>
    <w:p>
      <w:r>
        <w:t>A/899/2012 - 8/11 -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consid. 2d). 9.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10. En l'espèce, l'art. 4.2 des conditions générales de l'assurance maladie complémentaire prévoit une délimitation de la couverture en division semi-privée. Sont notamment exclus de l'assurance maladie et accidents les interventions de chirurgie plastique et reconstructive, à l'exclusion de la reconstruction mammaire, selon les conditions particulières des catégories d'assurance. 11. A la lumière des considérants qui précèdent, il convient d'interpréter les notions de reconstruction mammaire et de chirurgie plastique et reconstructive. Le Tribunal fédéral a exposé les principes applicables en matière de reconstruction mammaire dans un arrêt du 28 octobre 1985 (ATF 111 V 229). Il s'agissait du cas d'une assurée qui avait subi une mastectomie (ablation de la glande mammaire) radicale</w:t>
      </w:r>
    </w:p>
    <w:p>
      <w:r>
        <w:t>A/899/2012 - 9/11 - du côté gauche et sollicitait la prise en charge de l'implantation d'une prothèse mammaire. Dans le contexte de la clause d'exclusion du cas d'espèce, on ne voit guère quelle autre signification pourrait revêtir la notion de reconstruction mammaire. Le cas de la demanderesse ne relève pas de cette définition, de sorte qu'elle ne devrait pas bénéficier de la couverture d'hospitalisation en division semi- privée. Elle ne l'allègue d'ailleurs pas, soulignant toutefois que l'intervention subie n'avait pas un but esthétique mais médical. Il ne s'agissait ainsi pas d'une simple chirurgie plastique mais bien d'une intervention nécessaire. Il convient ici de se pencher sur la notion de chirurgie plastique. Le Dictionnaire illustré des termes de médecine la définit comme la chirurgie destinée à corriger les déformations congénitales ou acquises. C'est donc une spécialité chirurgicale qui répare ou remodèle une structure tégumentaire ou une forme du corps humain. En l'espèce, si la Cour de céans s'accorde avec la demanderesse et AVENIR pour dire que la réduction mammaire qu'elle a subie ne relevait pas de considérations esthétiques mais bien médicales, il n'en demeure pas moins que cette intervention est exclue du champ d'application de l'assurance complémentaire, puisqu'il s'agit de chirurgie plastique. C'est ainsi à bon droit que MUTUEL a refusé de prendre en charge les frais d'hospitalisation en division semi-privée relatifs à cette opération. La Cour de céans invite toutefois la demanderesse à interpeller AVENIR, étant considéré que, le 11 novembre 2011, elle s'est engagée à prendre en charge les coûts correspondant à ceux pratiqués en division commune pour ce type d'intervention, déduction faite du montant de la franchise annuelle. À cet égard, la Cour de céans rappellera que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1er janvier 1997, de la LAMal (RAMA 2000 n° KV 138 p. 360 consid. 3b). Aussi,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 déterminante, mais bien le point de savoir si les troubles sont importants et que d'autres raisons, en particulier d'ordre esthétique, peuvent être écartées (ATF 121 V 213 consid. 4 et 5a; RAMA 1996 n° K 972 p. 3 consid. 4; ATFA non publié du 29 janvier 2001, K 171/00).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121 V 211; ATFA non publié du 17 août 2005, K 4/04; voir aussi RAMA 2000 n° KV 138 p. 357).</w:t>
      </w:r>
    </w:p>
    <w:p>
      <w:r>
        <w:t>A/899/2012 - 10/11 - 12. Au vu de ce qui précède, la demande doit être rejetée. Pour le surplus, il n'est pas alloué de dépens à la charge de la demanderesse (art. 17 al. 3 let. b de la loi d'application du code civil et du code des obligations du 7 mai 1981 [LaCC ; RS E 1 05]) ni perçu de frais judiciaires (art. 114 let. e CPC).</w:t>
      </w:r>
    </w:p>
    <w:p>
      <w:r>
        <w:t>A/899/2012 - 11/11 -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