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ATAS/1277/2008 vom 13. November 2008</w:t>
      </w:r>
    </w:p>
    <w:p>
      <w:r>
        <w:t>GE Cour de justice, 2008-11-13, FR</w:t>
      </w:r>
    </w:p>
    <w:p>
      <w:r>
        <w:rPr>
          <w:b/>
        </w:rPr>
        <w:t xml:space="preserve">Quelle: </w:t>
      </w:r>
      <w:r>
        <w:t>https://mcp.opencaselaw.ch/entscheid/ge_gerichte_ATAS_1277_2008</w:t>
      </w:r>
    </w:p>
    <w:p>
      <w:r>
        <w:t>FR: GE_GERICHTE ATAS/1277/2008 du 13 novembre 2008</w:t>
      </w:r>
    </w:p>
    <w:p>
      <w:r>
        <w:t>IT: GE_GERICHTE ATAS/1277/2008 del 13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Le recours interjeté respectant les forme et délai prévus par la loi (art. 56 à 60 LPGA), il y a lieu de le déclarer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23 novembre 2007, est postérieure à l'entrée en vigueur de la LPGA ainsi qu'à l'entrée en vigueur, le 1er janvier 2004, des modifications de la LAI du 21 mars 2003 (4ème révision). Par conséquent, du point</w:t>
      </w:r>
    </w:p>
    <w:p>
      <w:r>
        <w:t>A/23/2008 - 11/17 -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Le présent litige porte sur le droit du recourant à des prestations de l'assurance- invalidité, singulièrement sur son degré d'invalidité.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dans sa teneur en vigueur jusqu'au 31 décembre 2003, l'assuré a droit à une rente entière s'il est invalide à 66 2/3 % au moins, à une demi- 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w:t>
      </w:r>
    </w:p>
    <w:p>
      <w:r>
        <w:t>A/23/2008 - 12/17 - quarts de rente à l'assuré dont le degré d'invalidité atteint 60 %, alors que le taux ouvrant droit à une rente entière est passé de 66 à 70 %.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w:t>
      </w:r>
    </w:p>
    <w:p>
      <w:r>
        <w:t>A/23/2008 - 13/17 -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a) Pour établir la capacité de travail du recourant, l'OCAI s'est fondé sur l'expertise de la clinique CORELA. Les différents médecins ayant examiné l'assuré ont conclu à une capacité de travail entière dans une activité adaptée. Le recourant conteste cette évaluation. Il soutient être dans l'incapacité totale de travailler en raison du fait qu'il n'arrive pas à stabiliser son diabète et qu'il est sujet à de fréquents malaises hypoglycémiques. Il reproche aux experts de n'avoir pas pris en compte les contraintes qui découlent de sa maladie. b) Il convient tout d'abord de se prononcer sur la valeur à accorder à l'expertise de la clinique CORELA. Celle-ci a été diligentée par plusieurs spécialistes, sur la base d'un dossier complet. Elle tient compte des remarques et plaintes de l'assuré et relate de façon précise les constatations cliniques objectives des médecins. Les diagnostics posés sont corroborés par les rapports des autres médecins s'étant déjà exprimés (les Drs A_________, B_________ et C_________). Les interactions entre les différentes pathologies, ainsi que les conséquences de celles-ci sur la capacité à effectuer certaines tâches (description des limitations fonctionnelles) sont claires. Il en va de même des explications relatives aux motifs ayant conduit les experts à ne pas retenir l'ensemble des empêchements (et/ou douleurs) allégués par l'intéressé. Les conclusions auxquelles aboutissent les examinateurs, motivées de façon étoffée, sont convaincantes. En de telles circonstances, le Tribunal de céans considère que le rapport d'expertise du 16 juillet 2007 a pleine valeur probante.</w:t>
      </w:r>
    </w:p>
    <w:p>
      <w:r>
        <w:t>A/23/2008 - 14/17 -</w:t>
      </w:r>
    </w:p>
    <w:p>
      <w:r>
        <w:t>Certes, le Dr C_________, des HUG a conclu à une incapacité de travail mais il n'a pas motivé son avis et a préconisé un avis spécialisé à cet égard, tout comme le Dr B_________, d'ailleurs. C'est précisément ce qu'a fait l'OCAI en mandatant la Clinique CORELA. Contrairement à ce que soutient le recourant, les experts ont tenu compte de ses plaintes et des contraintes liées à sa maladie puisqu'ils ont expressément écarté les professions qui impliqueraient des horaires irréguliers ou de nuit, le port de lourdes charges, les mouvements de contrainte répétitifs au niveau de rachis, ou encore les positions statiques en porte-à-faux prolongées. En revanche, ils ont considéré que dans une activité respectant ces conditions, l'assuré dispose encore d'une pleine capacité de travail. En substance, les experts ont estimé que le problème le plus grave de l'intéressé était son atteinte oculaire importante et les risques majeurs d'une dégradation relativement rapide, tout en précisant qu'au moment de l'expertise toutefois, l'acuité visuelle était encore pratiquement normale des deux côtés, de sorte qu'il n'y avait pas d'incapacité à prévoir dans l'immédiat à ce niveau-là. De même, si la situation a été jugée inquiétante en termes de pronostic s'agissant du diabète, aucune incapacité de travail n'a été constatée. L'argumentation du recourant, qui tente de substituer sa propre appréciation à celle opérée par les experts, ne saurait être retenue dans la mesure où elle n'est étayée par aucun élément médical permettant de s'écarter de l'expertise. Il suit de ce qui précède que le recourant doit être considéré comme apte à exercer à plein temps et plein rendement une activité adaptée. Le grief du recourant portant sur les qualités des interprètes mis à sa disposition durant les examens ne saurait permettre d'aboutir à une autre conclusion. En effet, il apparaît que les interprètes auxquels il a été fait appel ont été choisis sur la liste des traducteurs-interprètes professionnels pouvant justifier du droit de pratiquer et donc des compétences nécessaires pour ce faire. Quoi qu'il en soit, cela reste sans incidence sur les conclusions médicales. En effet, les conclusions des experts sur le plan somatique se basent sur un examen du patient et le dossier médical de ce dernier, de sorte qu'il importe peu en définitive que la traduction ait été approximative - si l'on devait admettre que tel est le cas, ce qui n'est pas établi. Ce n'est que sur le plan de l'examen psychique que la traduction revêt une importance décisive. Or, sur ce plan, non seulement aucun des médecins n'a jamais relevé de problème mais le recourant lui-même indique ne souffrir d'aucune atteinte.</w:t>
      </w:r>
    </w:p>
    <w:p>
      <w:r>
        <w:rPr>
          <w:b/>
        </w:rPr>
        <w:t>E. 7</w:t>
      </w:r>
    </w:p>
    <w:p>
      <w:r>
        <w:t>a) Reste donc à calculer le taux d'invalidité présenté par le recourant.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w:t>
      </w:r>
    </w:p>
    <w:p>
      <w:r>
        <w:t>A/23/2008 - 15/17 -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Cette méthode générale de comparaison des revenus s'applique également aux assurés qui n'exerçaient pas d'activité lucrative lors de la survenance de l'atteinte à la santé mais desquels on pourrait raisonnablement exiger qu'ils en exercent une. Pour procéder à la comparaison des revenus, il convient de se placer au moment de la naissance de l'éventuel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c) L'art. 26 al. 2 du règlement du 17 janvier 1961 sur l'assurance-invalidité [RAI]) prévoit que lorsque l'assuré a été empêché par son invalidité d'achever sa formation professionnelle, le revenu qu'il pourrait obtenir s'il n'était pas invalide est le revenu moyen d'un travailleur de la profession à laquelle il se préparait.</w:t>
      </w:r>
    </w:p>
    <w:p>
      <w:r>
        <w:t>A/23/2008 - 16/17 - d) En l'espèce, l'assuré a indiqué n'avoir jamais exercé d'activité lucrative. Il allègue par ailleurs avoir dû interrompre ses études d'ingénieur en génie civil. Au vu des limitations fonctionnelles retenues par les experts, on ne comprend cependant pas en quoi son état de santé a empêché l'assuré de poursuivre sa formation. Il ressort d'ailleurs des explications de l'intéressé qu'il aurait mis un terme à ses études en raison du fait que les autres étudiants le soupçonnaient de toxicomanie, ce qui ne saurait être considéré comme un empêchement valable. Dans cette mesure, l'art. 26 al. 2 RAI ne saurait trouver application en l'occurrence. C'est par conséquent à juste titre que l'OCAI s'est référé aux données statistiques et s'est basé, qu'il s'agisse du revenant avant ou après invalidité, sur le salaire moyen que peuvent prétendre les hommes effectuant des activités simples et répétitives dans le secteur privé, car ce domaine recouvre un large éventail d'activités, ainsi qu'un nombre significatif de professions légères ne requérant pas de qualification professionnelles particulières et adaptées au handicap de l'assuré. Les revenus avec et sans invalidité étant basés sur la même tabelle statistique, il était effectivement superflu de les chiffrer avec exactitude puisque dans un tel cas, le degré d'invalidité se confond avec celui de l'incapacité de travail. Même en admettant que l'on applique au revenu d'invalide une réduction supplémentaire pour tenir compte des malaises hypoglycémiques de l'assuré, cela ne permet pas d'atteindre un degré d'invalidité suffisant pour ouvrir droit à une rente.</w:t>
      </w:r>
    </w:p>
    <w:p>
      <w:r>
        <w:rPr>
          <w:b/>
        </w:rPr>
        <w:t>E. 8</w:t>
      </w:r>
    </w:p>
    <w:p>
      <w:r>
        <w:t>Au vu de ce qui précède, il apparaît que c'est à juste titre que l'intimé a refusé l'octroi d'une rente au recourant, le fait que ce dernier se soit vu reconnaître un statut d'invalide en Israël et en Ukraine et que, dans d'autres pays, le diabète de type I soit reconnu comme cause d'invalidité n'est pas pertinent, seuls les critères posés par la législation suisse entrant en ligne de compte. Or, ces derniers ne sont pas remplis, de sorte qu'il convient de rejeter le recours, étant précisé qu'il est loisible à l'assuré de déposer une nouvelle demande si son état venait à s'aggraver.</w:t>
      </w:r>
    </w:p>
    <w:p>
      <w:r>
        <w:rPr>
          <w:b/>
        </w:rPr>
        <w:t>E. 9</w:t>
      </w:r>
    </w:p>
    <w:p>
      <w:r>
        <w:t>La procédure de recours en matière de contestations portant sur l'octroi ou le refus de prestations de l'assurance-invalidité étant désormais soumise à des frais de justice, un émolument de 200 fr. sera mis à la charge de l'intimé art. 69 al. 1 bis LAI ; ch. II let. c des dispositions transitoires relatives à la modification du 16 décembre 2005).</w:t>
      </w:r>
    </w:p>
    <w:p>
      <w:r>
        <w:t>A/23/2008 - 17/17 -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