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ATAS/1274/2014 vom 10. Dezember 2014</w:t>
      </w:r>
    </w:p>
    <w:p>
      <w:r>
        <w:t>GE Cour de justice, 2014-12-10, FR</w:t>
      </w:r>
    </w:p>
    <w:p>
      <w:r>
        <w:rPr>
          <w:b/>
        </w:rPr>
        <w:t xml:space="preserve">Quelle: </w:t>
      </w:r>
      <w:r>
        <w:t>https://mcp.opencaselaw.ch/entscheid/ge_gerichte_ATAS_1274_2014</w:t>
      </w:r>
    </w:p>
    <w:p>
      <w:r>
        <w:t>FR: GE_GERICHTE ATAS/1274/2014 du 10 décembre 2014</w:t>
      </w:r>
    </w:p>
    <w:p>
      <w:r>
        <w:t>IT: GE_GERICHTE ATAS/1274/2014 del 10 dicembre 2014</w:t>
      </w:r>
    </w:p>
    <w:p>
      <w:pPr>
        <w:pStyle w:val="Heading2"/>
      </w:pPr>
      <w:r>
        <w:t>Erwägungen</w:t>
      </w:r>
    </w:p>
    <w:p>
      <w:r>
        <w:rPr>
          <w:b/>
        </w:rPr>
        <w:t>E. 1</w:t>
      </w:r>
    </w:p>
    <w:p>
      <w:r>
        <w:t>La recevabilité du recours ainsi que le droit applicable ont déjà été examinés dans l’arrêt de la chambre de céans du 29 novembre 2012.</w:t>
      </w:r>
    </w:p>
    <w:p>
      <w:r>
        <w:rPr>
          <w:b/>
        </w:rPr>
        <w:t>E. 2</w:t>
      </w:r>
    </w:p>
    <w:p>
      <w:r>
        <w:t>Le litige porte sur le point de savoir si l’état de santé de la recourante s’est aggravé depuis la décision sur opposition du 16 février 2006 au point d’influer sur son droit à une rente d’invalidité.</w:t>
      </w:r>
    </w:p>
    <w:p>
      <w:r>
        <w:rPr>
          <w:b/>
        </w:rPr>
        <w:t>E. 3</w:t>
      </w:r>
    </w:p>
    <w:p>
      <w:r>
        <w:t>a.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l'impotence ou l'étendue du besoin de soins ou du besoin d'aide découlant de l'invalidité de l'assuré s'est modifiée de manière à influencer ses droits (art. 87 al. 2 du règlement du 17 janvier 1961 sur l’assurance-invalidité (RAI ; RS 831.20). Il en va de même lorsque la rente, l'allocation pour impotent ou la contribution d'assistance a été refusée parce que le degré d'invalidité était insuffisant, parce qu'il n'y avait pas d'impotence ou parce que le besoin d'aide ne donnait pas droit à une contribution d'assistance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w:t>
      </w:r>
    </w:p>
    <w:p>
      <w:r>
        <w:t>A/3009/2009 - 12/18 - b. Quand l’administration entre en matière sur une nouvelle demande, elle doit procéder de la même manière qu’en cas de révision au sens de l’art. 17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 la réglementation sur la révision ne saurait en effet constituer un fondement juridique à un réexamen sans condition du droit à la rente (Arrêt du Tribunal fédéral I 406/05 du 13 juillet 2006 consid. 4.1 et les références).</w:t>
      </w:r>
    </w:p>
    <w:p>
      <w:r>
        <w:rPr>
          <w:b/>
        </w:rPr>
        <w:t>E. 4</w:t>
      </w:r>
    </w:p>
    <w:p>
      <w:r>
        <w:t>a. Aux termes de l’art. 8 al. 1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A/3009/2009 - 13/18 - L’art. 28 al. 2 LAI dispose que l’assuré a droit à une rente entière s’il est invalide à 70% au moins, à trois quarts de rente s’il est invalide à 60% au moins, à une demi- rente s’il est invalide à 50% au moins ou à un quart de rente s’il est invalide à 40% au moins.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 786/04 du 19 janvier 2006 consid. 3.1).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I 1093/06 du 3 décembre 2007 consid. 3.2). Peut constituer une telle comorbidité un état dépressif majeur (ATF 135 V 65 consid. 4.2.2 ; Arrêt du Tribunal fédéral 9C_387/2009 du 5 octobre 2009 consid. 3.2).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w:t>
      </w:r>
    </w:p>
    <w:p>
      <w:r>
        <w:t>A/3009/2009 - 14/18 - devant pas faire l'objet d'un diagnostic séparé (Arrêt du Tribunal fédéral I 497/04 du 12 septembre 2005 consid. 5.1).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5</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w:t>
      </w:r>
    </w:p>
    <w:p>
      <w:r>
        <w:t>A/3009/2009 - 15/18 -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6</w:t>
      </w:r>
    </w:p>
    <w:p>
      <w:r>
        <w:t>En l’espèce, il est rappelé que le Tribunal fédéral a dénié toute valeur probante au rapport d’expertise rendu par les Drs I______ et J______, auxquels il a reproché de ne pas expliquer pour quelles raisons les limitations fonctionnelles retenues, que ce soit d’un point de vue somatique ou psychique, ne laisseraient subsister aucune capacité de travail résiduelle dans une activité adaptée. De même, il a estimé que les observations cliniques rapportées par l’expert psychiatre étaient « ténues » et ne permettaient pas de comprendre, en l’absence d’explications précises, les diagnostics retenus. Il a souligné : « Plus généralement, les conclusions finales auxquelles aboutissent les experts ne procèdent pas d’une discussion générale, où auraient été intégrés, dans une analyse globale cohérente, les renseignements issus du dossier (dont font partie les expertises du COMAI de Genolier et de la doctoresse H______), l’anamnèse, les indications subjectives et l’observation clinique ». La chambre de céans est d’avis qu’il convient de procéder à une nouvelle expertise bidisciplinaire et que demander un simple complément aux Drs I______ et J______ ne serait pas suffisant, compte tenu de l’importance et de la nature des griefs retenus par le Tribunal fédéral à l’encontre de leur rapport d’expertise. En l’occurrence, il est indispensable que la recourante se soumette à de nouveaux examens complets d’un point de vue rhumatologique et psychiatrique, que les experts procèdent à une étude rigoureuse et fouillée de son dossier, et se prononcent notamment sur les conclusions retenues par les Drs E______ et F______ dans leur rapport du 27 mai 2005, document ayant servi de fondement à la suppression de la rente, ainsi que sur celles de la Dresse H______ du 6 mars 2009, sur lesquelles s’est appuyé l’intimé pour conclure qu’il n’y avait pas d’aggravation notable et durable de l’état de santé de la recourante. Les experts devront ainsi expliquer les motifs pour lesquels ils s’écartent ou confirment les conclusions des autres spécialistes ayant ausculté la recourante.</w:t>
      </w:r>
    </w:p>
    <w:p>
      <w:r>
        <w:rPr>
          <w:b/>
        </w:rPr>
        <w:t>E. 7</w:t>
      </w:r>
    </w:p>
    <w:p>
      <w:r>
        <w:t>Réserve le fond. 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