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ATAS/1274/2008 vom 13. November 2008</w:t>
      </w:r>
    </w:p>
    <w:p>
      <w:r>
        <w:t>GE Cour de justice, 2008-11-13, FR</w:t>
      </w:r>
    </w:p>
    <w:p>
      <w:r>
        <w:rPr>
          <w:b/>
        </w:rPr>
        <w:t xml:space="preserve">Quelle: </w:t>
      </w:r>
      <w:r>
        <w:t>https://mcp.opencaselaw.ch/entscheid/ge_gerichte_ATAS_1274_2008</w:t>
      </w:r>
    </w:p>
    <w:p>
      <w:r>
        <w:t>FR: GE_GERICHTE ATAS/1274/2008 du 13 novembre 2008</w:t>
      </w:r>
    </w:p>
    <w:p>
      <w:r>
        <w:t>IT: GE_GERICHTE ATAS/1274/2008 del 13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w:t>
      </w:r>
    </w:p>
    <w:p>
      <w:r>
        <w:t>A/2453/2007 - 7/13 -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24 mai 2007,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 recourant peut prétendre une rente de l’assurance-invalidité, singulièrement quel est le taux d’invalidité qu’il présente et si, cas échéant, il peut se voir octroyer des mesures d’ordre professionnel.</w:t>
      </w:r>
    </w:p>
    <w:p>
      <w:r>
        <w:t>A/2453/2007 - 8/13 -</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w:t>
      </w:r>
    </w:p>
    <w:p>
      <w:r>
        <w:t>A/2453/2007 - 9/13 -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Le recourant conteste être capable d’exercer une activité lucrative à plus de 50%. Il en veut pour preuve que malgré sa bonne volonté, le stage auprès de la fondation PRO s’est soldé par un échec. Ce faisant, le recourant conteste donc l’appréciation de la capacité de travail à laquelle s’est livré l’OCAI. Ce dernier, se basant sur l’avis de la division de réadaptation professionnelle, a retenu une capacité de travail de 100% dans une activité d’ouvrier dans l’industrie légère.</w:t>
      </w:r>
    </w:p>
    <w:p>
      <w:r>
        <w:rPr>
          <w:b/>
        </w:rPr>
        <w:t>E. 7</w:t>
      </w:r>
    </w:p>
    <w:p>
      <w:r>
        <w:t>Force est de constater que les opinions des différents médecins s’étant prononcés convergent. Tous sont d’accord pour admettre que la capacité de travail du recourant dans son ancienne profession de jardinier est désormais considérablement restreinte. En revanche, le Dr A__________ a indiqué qu’une autre activité pourrait être envisagée, à raison de huit heures par jour, qu’il a décrite comme un travail manuel n'impliquant que de courts déplacements et permettant d’éviter le port de charges et les accroupissements. Ces conclusions sont corroborées par celles de la CRR, qui a préconisé d’éviter les montées et descentes d'escaliers, la station debout</w:t>
      </w:r>
    </w:p>
    <w:p>
      <w:r>
        <w:t>A/2453/2007 - 10/13 - prolongée, le port de charges lourdes, la position agenouillée et la marche en terrain accidenté. La Dresse B__________, dont le recourant a produit le rapport, parvient aux mêmes conclusions puisqu’elle indique que son patient a les capacités d’assumer un travail physiquement moins lourd que celui de jardinier et peut très certainement travailler, au moins à temps partiel. Il est vrai que les maîtres de stage de la Fondation PRO ont pour leur part conclu à un rendement de 80% sur un taux d’occupation de 75%. C’est le lieu de rappeler qu’une mesure d’observation professionnelle a pour objectif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 rendu d'une séance du 10 novembre 1989 consacrée aux problèmes de l'expertise médicale et professionnelle, RCC 1990 p. 59 ss; Karl ABEGG, Coup d’œil sur l'activité des centres d'observation professionnelle de l'AI [COPAI]; PLÄDOYER 3/2004 p. 64 ; ATFA I 540/03 du 10 novembre 2004 consid. 4.1 ; ATFA I 220/04 du 20 septembre 2004, consid. 4.2). Cette différence d’évaluation de la capacité de travail peut cependant s’expliquer, selon les maîtres de stage, par une démotivation de l’assuré. C’est d’ailleurs pour cette raison qu’ils ont finalement renoncé à poursuivre la mesure par un stage en entreprise privée, estimant que l’assuré n’était pas « forcément dans une dynamique de reprise d'une activité professionnelle » en ce sens que s’il appréciait d'être occupé, il ne se sentait pas forcément apte à réellement travailler en entreprise. Le résultat du stage auprès de la fondation PRO ne saurait donc suffire à s’écarter des conclusions concordantes des différents médecins, d’autant que l’assurance- accidents est également parvenue à la conclusion que l’assuré pourrait exercer à plein temps une activité adaptée à son état de santé, c'est-à-dire une activité simple et répétitive en position semi-assise. C’est le lieu de rappeler que le principe de l'uniformité de la notion d'invalidité doit conduire à fixer en principe, pour une même atteinte à la santé, un même taux d'invalidité (cf. ATF 126 V 288, RAMA 2001 n° U 410 p. 73). Il est vrai que la responsabilité de l'assureur-accidents se limite aux seules atteintes à la santé qui se trouvent en lien de causalité naturelle et adéquate avec l'accident assuré (cf. ATF 119 V 337 consid. 1, 118 V 289 consid. 1b et les références), néanmoins, cela ne joue pas de rôle en l’occurrence, les comorbidités aux séquelles de l’accident n’ayant pas, selon les médecins, de répercussions sur la capacité de travail de l’assuré. c) Il suit de ce qui précède que c’est à juste titre que l’intimé a considéré l’assuré comme apte à exercer à plein temps une activité adaptée à son état de santé.</w:t>
      </w:r>
    </w:p>
    <w:p>
      <w:r>
        <w:t>A/2453/2007 - 11/13 -</w:t>
      </w:r>
    </w:p>
    <w:p>
      <w:r>
        <w:rPr>
          <w:b/>
        </w:rPr>
        <w:t>E. 8</w:t>
      </w:r>
    </w:p>
    <w:p>
      <w:r>
        <w:t>Il convient à présent de se prononcer sur le calcul du taux d'invalidité effectué par l'OCAI.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A/2453/2007 - 12/13 -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 recourant travaillait en tant que jardinier avant l’accident ayant entraîné l’atteinte à sa santé. Dans le but de déterminer sa rémunération au moment de l’ouverture éventuelle du droit aux prestations, soit en 2003, l’intimé s’est basé sur le rassemblement de ses comptes individuels AVS. Cette façon de faire est correcte et les renseignements obtenus pertinents, dans la mesure où rien de permet de penser que sans l’atteinte à la santé, le recourant aurait changé d’emploi. S'agissant du revenu avant invalidité, il convient donc de se référer à celui qu’aurait perçu l’intéressé en 2003, soit 57'339 fr. (puisqu’il a réalisé un revenu de 55'543.- en 2001, qu'il convient d'adapter à l’évolution des salaires nominaux ; cf. La Vie économique n°9/2007, tableau B10.3, p. 99). Quant au revenu avec invalidité, en l’absence de reprise d’activité du recourant, il convient de se référer aux salaires statistiques tels qu’ils découlent de l’enquête suisse sur la structure des salaires éditée par l’Office fédéral de la statistique (ESS). L’activité d’ouvrier dans l’industrie légère (fabrication d'équipement électrique , mécanique de précision) retenue par l’intimé correspond à la description d’une activité adaptée telle que décrite par les différents médecins puisqu’elle n'implique que de courts déplacements et permet d’éviter le port de charges, la position agenouillée, les montées et descentes d'escaliers, ainsi que la station debout prolongée. Cependant, l'intimé a retenu le montant total (tous sexes confondus) alors qu'il convient de se référer au revenu qu'un homme pourrait réaliser cette année-là. Selon les données de l'ESS 2002, le revenu mensuel standardisé d'un homme exerçant une activité simple et répétitive s'élevait en 2002, dans ce domaine, à 4'841 fr. (TA1 30-32, niveau 4). Ce montant correspond, pour un horaire de travail moyen de 41,7 heures (cf. ATF 126 V 81 consid. 7a) à un salaire annuel brut, en 2003, de 61'419 fr. Même en appliquant à ce revenu la réduction maximale de 25% pour tenir compte de ses limitations, on obtient un degré d'invalidité de 16,8% - similaire à celui auquel a abouti l'assurance-accidents -, insuffisant pour ouvrir droit à une rente d'invalidité ou même à des mesures d'ordre professionnel. En conséquence, le refus de prestations doit être confirmé et le recours rejeté. L'émolument, fixé à 200 fr., est mis à la charge du recourant qui succombe (art. 69 al. 1 bis LAI).</w:t>
      </w:r>
    </w:p>
    <w:p>
      <w:r>
        <w:t>A/2453/2007 - 13/13 -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