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ATAS/1273/2012 vom 23. Oktober 2012</w:t>
      </w:r>
    </w:p>
    <w:p>
      <w:r>
        <w:t>GE Cour de justice, 2012-10-23, FR</w:t>
      </w:r>
    </w:p>
    <w:p>
      <w:r>
        <w:rPr>
          <w:b/>
        </w:rPr>
        <w:t xml:space="preserve">Quelle: </w:t>
      </w:r>
      <w:r>
        <w:t>https://mcp.opencaselaw.ch/entscheid/ge_gerichte_ATAS_1273_2012</w:t>
      </w:r>
    </w:p>
    <w:p>
      <w:r>
        <w:t>FR: GE_GERICHTE ATAS/1273/2012 du 23 octobre 2012</w:t>
      </w:r>
    </w:p>
    <w:p>
      <w:r>
        <w:t>IT: GE_GERICHTE ATAS/1273/2012 del 23 ottobre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w:t>
      </w:r>
    </w:p>
    <w:p>
      <w:r>
        <w:rPr>
          <w:b/>
        </w:rPr>
        <w:t>E. 3</w:t>
      </w:r>
    </w:p>
    <w:p>
      <w:r>
        <w:t>Interjeté dans les forme et délai prévus par la loi, le recours est recevable (art. 56 ss LPGA).</w:t>
      </w:r>
    </w:p>
    <w:p>
      <w:r>
        <w:rPr>
          <w:b/>
        </w:rPr>
        <w:t>E. 4</w:t>
      </w:r>
    </w:p>
    <w:p>
      <w:r>
        <w:t>L'objet du litige porte sur le droit de la recourante à des prestations de l'assurance- invalidité.</w:t>
      </w:r>
    </w:p>
    <w:p>
      <w:r>
        <w:t>A/1980/2011 - 14/22 -</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6</w:t>
      </w:r>
    </w:p>
    <w:p>
      <w:r>
        <w:t>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Il s'agit de la méthode ordinaire d'évaluation de l'invalidité par comparaison de revenus (ATF 8C_107/2009 du 18 janvier 2010, consid. 4.1). Les assurés majeurs qui n'exerçaient pas d'activité lucrative avant d'être atteints dans leur santé physique, mentale ou psychique et dont il ne peut être exigé qu'ils en exercent une sont réputés invalides si l'atteinte les empêche d'accomplir leurs travaux habituels (art. 28a al. 2 LAI). Pour établir l'invalidité de ces personnes, on cherche donc à établir l'importance de cet empêchement. Il s'agit de la méthode dite spécifique d'évaluation de l'invalidité (ATF I 707/04 du 2 août 2005, consid. 3.3.2). Enfin, lorsque la personne assurée, sans atteinte à la santé, n'exercerait une activité lucrative qu'à temps partiel ou travaillerait sans être rémunérée dans l'entreprise de son conjoint, l'invalidité pour cette activité est évaluée par comparaison de revenus conformément à l'art. 16 LPGA. Pour la part de son temps consacrée à l'accomplissement d'autres travaux habituels, l'invalidité est fixée selon la méthode spécifique. Dans ce cas, il faut déterminer la part respective de l'activité lucrative et celle de l'accomplissement des autres travaux habituels et calculer le taux d'invalidité d'après le handicap dont la personne assurée est affectée dans les deux champs d'activités en question, selon la méthode mixte (art. 28a al. 3 LAI, ATF 130 V 393 consid. 3.3).</w:t>
      </w:r>
    </w:p>
    <w:p>
      <w:r>
        <w:t>A/1980/2011 - 15/22 -</w:t>
      </w:r>
    </w:p>
    <w:p>
      <w:r>
        <w:rPr>
          <w:b/>
        </w:rPr>
        <w:t>E. 7</w:t>
      </w:r>
    </w:p>
    <w:p>
      <w:r>
        <w:t>Le choix de la méthode d'évaluation de l'invalidité (méthode générale de comparaison des revenus, méthode spécifique, méthode mixte)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I 85/07 du 14 avril 2008, consid. 3.2; ATF 125 V 146, consid. 2c). La réponse apportée à la question de savoir à quel taux d'activité la personne assurée travaillerait sans atteinte à la santé dépend de l'ensemble des circonstances personnelles, familiales, sociales, financières et professionnelles (ATF 9C_428/2007 du 20 novembre 2007; consid. 4.3.1;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établis au degré de la vraisemblance prépondérante tel que requis en droit des assurances sociales (ATF 9C_321/2009 du 22 juillet 2009, consid. 4.2).</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w:t>
      </w:r>
    </w:p>
    <w:p>
      <w:r>
        <w:t>A/1980/2011 - 16/22 -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A/1980/2011 - 17/22 -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w:t>
      </w:r>
    </w:p>
    <w:p>
      <w:r>
        <w:t>A/1980/2011 - 18/22 -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a) À titre liminaire, la recourante se plaint d'une violation de son droit d'être entendu, motif pris qu'elle n'a pas eu l'occasion de poser des questions aux experts, ni même de se déterminer sur leur rapport d'expertise, avant que l'intimé ne rende une décision de prestations négative. 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c) En l'occurrence, la recourante a eu tout loisir de se déterminer sur les conclusions de l'expertise, que ce soit dans le cadre de son opposition ou dans son recours. Dans cette mesure, une violation de son droit d'être entendu ne saurait être retenue.</w:t>
      </w:r>
    </w:p>
    <w:p>
      <w:r>
        <w:rPr>
          <w:b/>
        </w:rPr>
        <w:t>E. 11</w:t>
      </w:r>
    </w:p>
    <w:p>
      <w:r>
        <w:t>Dans un second grief, la recourante conteste la valeur probante de l'expertise du 26 mars 2010 et en particulier la conclusion selon laquelle, dans une activité adaptée à ses limitations fonctionnelles, elle présente une pleine capacité de travail avec toutefois une diminution de rendement de 30%. Se référant aux rapports de ses médecins traitants, et en particulier à ceux de la Dresse B_________, la recourante estime au contraire que, tant sur le plan somatique que psychologique, elle n'est plus en mesure d'exercer une activité lucrative, quelle qu'elle soit. Il apparaît en l'occurrence que le rapport d'expertise en question a été établi en pleine connaissance du dossier, sur la base d'examens en médecine interne, psychiatrique et rhumatologique. Les plaintes de l'expertisée y sont reprises en</w:t>
      </w:r>
    </w:p>
    <w:p>
      <w:r>
        <w:t>A/1980/2011 - 19/22 - détail, de même que son histoire médicale et socioprofessionnelle. Les conclusions sont complètes, bien motivées et claires. Les limitations fonctionnelles y sont décrites de façon précise. Sur le plan rhumatologique, les experts ont plus particulièrement retenu que les troubles ostéo-articulaires présentés par la recourante diminuent considérablement ses possibilités d'effort, de sorte qu'une diminution de rendement de 30% doit être prise en compte. Sur le plan psychique, les symptômes sont par contre jugés insuffisants pour retenir un trouble dépressif. Il est par ailleurs relevé que la thymie de la recourante peut être considérablement améliorée, avec une meilleure prise en charge thérapeutique et médicamenteuse. Quoiqu'il en soit, les experts concluent que la recourante présente des ressources psychiques suffisantes pour maintenir une capacité de travail. Certes, la Dresse B_________ estime que sa patiente n’est pas en mesure de reprendre une activité professionnelle, même adaptée. Cette praticienne ne pose pourtant pas de diagnostics qui iraient au-delà de ceux retenus par les experts. Lors de son audition, le 6 décembre 2011, elle a d'ailleurs déclaré qu'elle était d'accord avec les diagnostics posés par les experts mais qu'elle voulait insister sur l'évolution de l'état de santé de sa patiente. Il apparaît en effet que le médecin traitant se livre à une appréciation différente du cas, plus favorable à sa patiente que celle des experts, sans apporter pour autant d’éléments objectifs de nature à remettre en cause la valeur probante de l'expertise du 26 mars 2010. De l'avis de la Cour, l'expertise du 26 mars 2010 répond dès lors à tous les réquisits jurisprudentiels pour lui reconnaître pleine valeur probante et il ne se justifie pas de mettre en œuvre une nouvelle expertise, contrairement à ce que soutient la recourante.</w:t>
      </w:r>
    </w:p>
    <w:p>
      <w:r>
        <w:rPr>
          <w:b/>
        </w:rPr>
        <w:t>E. 12</w:t>
      </w:r>
    </w:p>
    <w:p>
      <w:r>
        <w:t>Dans un troisième grief, la recourante conteste les conclusions de l'enquête ménagère réalisée le 6 mars 2012, indiquant qu'elle n'était plus en mesure de s'acquitter des tâches ménagères et alléguant que, si son état de santé le lui permettait, elle travaillerait aujourd'hui à 100%. Il convient dès lors de déterminer si c'est à juste titre que l'intimé a retenu que la recourante avait un statut mixte (70% en tant que ménagère et 30% en tant qu'active). Il ressort du dossier que la recourante a dans un premier temps déclaré s'être consacrée à l'éducation de ses enfants et à l'entretien du ménage, depuis son arrivée en Suisse en 1996. Elle a ensuite indiqué - contrat de travail à l'appui - qu'à partir de 2008, elle souhaitait reprendre une activité lucrative pour des raisons strictement financière, ses enfants étant désormais adultes. Elle n'a toutefois jamais pu honorer</w:t>
      </w:r>
    </w:p>
    <w:p>
      <w:r>
        <w:t>A/1980/2011 - 20/22 - le contrat de travail du 4 juillet 2008 conclu avec la société X_________, motif pris qu'avant même de débuter l'activité de femme de ménage, elle a subi un infarctus. Certes, la situation financière précaire de l’assurée, dont le mari ne perçoit qu'un très faible revenu, semble corroborer la nécessité dans laquelle elle aurait été de travailler à plein temps, si son état de santé le lui avait permis. De même, le fait qu'elle n'a plus à se vouer à l'éducation de ses enfants est un indice en faveur de la reprise d'une activité professionnelle. Il apparait toutefois impossible de conclure que la recourante aurait effectivement travaillé à 100%, si son état de santé ne s'était pas détérioré. En effet, aucun élément au dossier ne plaide en faveur d'une activité à plein temps. Déjà, la recourante a déclaré qu'elle manquait totalement de motivation. Ensuite, elle n'a pas démontré, ni même allégué, qu'elle avait effectué des recherches pour un emploi à 100% mais qu'elle s'était heurtée à des obstacles, de sorte qu'elle aurait accepté un emploi temporaire et à temps partiel. Elle ne s'est pas non plus inscrite au chômage et il ressort du dossier que son époux a perdu son emploi à la mission soudanaise en 1996 déjà, de sorte que sa situation financière était déjà difficile, bien avant 2008. Elle s'est par ailleurs contentée d'un travail à raison de 12 heures hebdomadaires (30%) et pour une durée déterminée, plutôt que de vouer ses efforts à la recherche d'un emploi fixe et à temps complet. Aussi, comme l'a indiqué la société X_________, s'il n'était pas impossible que l'activité de la recourante débouche sur un contrat de travail à durée indéterminée, rien ne permet de prédire que tel aurait effectivement été le cas et à quel taux d'activité. Il aurait en effet fallu que le travail de la recourante se soit avéré satisfaisant et qu'une place de travail se libère. Or, ces éléments sont impossibles à élucider, en l'état.</w:t>
      </w:r>
    </w:p>
    <w:p>
      <w:r>
        <w:rPr>
          <w:b/>
        </w:rPr>
        <w:t>E. 13</w:t>
      </w:r>
    </w:p>
    <w:p>
      <w:r>
        <w:t>C'est dès lors à bon droit que l'enquêtrice a considéré que la recourante avait un statut mixte (70% ménagère et 30% active). Ladite enquête respecte par ailleurs les principes jurisprudentiels pour lui attribuer pleine valeur probante, de sorte que l'empêchement de 14% doit être confirmé. En effet, l'enquêtrice a scindé le champ d'activités ménagères en sept postes comme le préconise le chiffre 3086 de la circulaire concernant l'invalidité et l'impotence de l'AI de l'Office fédéral des assurances sociales (CIIAI). Le contenu de son rapport est bien motivé, les limitations fonctionnelles y sont décrites de manière claire et les indications de la recourante y sont consignées. Au demeurant, la recourante n'apporte pas d'élément qui permette de remettre en question la pondération de l'enquêtrice dans les différents postes concernés. Elle allègue seulement que l'empêchement à conduire son ménage doit être considéré comme total puisque son seul rôle à domicile consiste à maintenir une stabilité et une pérennité familiale. Compte tenu de ce qui précède, les conclusions du rapport d'enquête à domicile ne sauraient être remises en question.</w:t>
      </w:r>
    </w:p>
    <w:p>
      <w:r>
        <w:t>A/1980/2011 - 21/22 -</w:t>
      </w:r>
    </w:p>
    <w:p>
      <w:r>
        <w:rPr>
          <w:b/>
        </w:rPr>
        <w:t>E. 14</w:t>
      </w:r>
    </w:p>
    <w:p>
      <w:r>
        <w:t>Il s'ensuit que c'est à bon droit - et en se basant sur l'enquête ménagère et l'expertise - que l'intimé a conclu à une pleine capacité de travail de la recourante dans une activité adaptée à ses limitations fonctionnelles, avec une diminution de rendement de 30%</w:t>
      </w:r>
    </w:p>
    <w:p>
      <w:r>
        <w:rPr>
          <w:b/>
        </w:rPr>
        <w:t>E. 15</w:t>
      </w:r>
    </w:p>
    <w:p>
      <w:r>
        <w:t>La recourante allègue enfin que l'intimé a erré en niant d'emblée l'aspect de sa réadaptation professionnelle, comme si le refus de verser une rente impliquait automatiquement celui de mettre en œuvre d'autres mesures. À cet égard, la Cour relèvera que tant la recourante que son médecin traitant ont déclaré qu'elle était totalement démotivée et qu'elle ne souhaitait pas reprendre une activité professionnelle. Une mesure de réadaptation professionnelle serait dès lors totalement inutile dans le cas de la recourante.</w:t>
      </w:r>
    </w:p>
    <w:p>
      <w:r>
        <w:rPr>
          <w:b/>
        </w:rPr>
        <w:t>E. 16</w:t>
      </w:r>
    </w:p>
    <w:p>
      <w:r>
        <w:t>Mal fondé en tous points, le recours est rejeté.</w:t>
      </w:r>
    </w:p>
    <w:p>
      <w:r>
        <w:rPr>
          <w:b/>
        </w:rPr>
        <w:t>E. 17</w:t>
      </w:r>
    </w:p>
    <w:p>
      <w:r>
        <w:t>Bien que la procédure ne soit pas gratuite en matière d'assurance-invalidité (art. 69 al. 1bis LAI), il convient de renoncer à la perception d'un émolument , la recourante étant au bénéfice de l'assistance juridique (art. 12 al. 1 du règlement sur les frais , émoluments et indemnités en procédure administrative du 30 juillet 1986; RS E 510. 03).</w:t>
      </w:r>
    </w:p>
    <w:p>
      <w:r>
        <w:t>A/1980/2011 - 22/22 -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