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ATAS/1271/2021 vom 3. August 2020</w:t>
      </w:r>
    </w:p>
    <w:p>
      <w:r>
        <w:t>GE Cour de justice, 2020-08-03, FR</w:t>
      </w:r>
    </w:p>
    <w:p>
      <w:r>
        <w:rPr>
          <w:b/>
        </w:rPr>
        <w:t xml:space="preserve">Quelle: </w:t>
      </w:r>
      <w:r>
        <w:t>https://mcp.opencaselaw.ch/entscheid/ge_gerichte_ATAS_1271_2021</w:t>
      </w:r>
    </w:p>
    <w:p>
      <w:r>
        <w:t>FR: GE_GERICHTE ATAS/1271/2021 du 3 août 2020</w:t>
      </w:r>
    </w:p>
    <w:p>
      <w:r>
        <w:t>IT: GE_GERICHTE ATAS/1271/2021 del 3 agosto 2020</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Qu’en vertu de l’art. 14 al. 1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 Qu’en l’occurrence, l’instruction de la présente cause serait grandement facilitée par l’apport de l’expertise multidisciplinaire qui sera rendue dans le dossier de l’OAI ;</w:t>
      </w:r>
    </w:p>
    <w:p>
      <w:r>
        <w:t>A/321/2021 - 3/4 - Qu’il est par ailleurs rappelé que la conclusion préalable du recourant, dans son mémoire de recours du 1er février 2021, visait à ce que la chambre de céans ordonnât la mise sur pied d’une expertise judiciaire pluridisciplinaire en psychiatrie, neurologie, orthopédie et médecine générale ; Qu’il est conforme au principe d’économie de procédure d’éviter les frais de deux expertises multidisciplinaires pour le même assuré ; Que, dans ces conditions, il y a lieu de prononcer la suspension du présent recours jusqu’à la réception et à l’apport du rapport d’expertise multidisciplinaire qui sera rendu dans le dossier de l’OAI, suite à la demande de prestations déposée par l’assuré.</w:t>
      </w:r>
    </w:p>
    <w:p>
      <w:r>
        <w:t>A/321/2021 - 4/4 -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