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ATAS/1271/2013 vom 19. Dezember 2013</w:t>
      </w:r>
    </w:p>
    <w:p>
      <w:r>
        <w:t>GE Cour de justice, 2013-12-19, FR</w:t>
      </w:r>
    </w:p>
    <w:p>
      <w:r>
        <w:rPr>
          <w:b/>
        </w:rPr>
        <w:t xml:space="preserve">Quelle: </w:t>
      </w:r>
      <w:r>
        <w:t>https://mcp.opencaselaw.ch/entscheid/ge_gerichte_ATAS_1271_2013</w:t>
      </w:r>
    </w:p>
    <w:p>
      <w:r>
        <w:t>FR: GE_GERICHTE ATAS/1271/2013 du 19 décembre 2013</w:t>
      </w:r>
    </w:p>
    <w:p>
      <w:r>
        <w:t>IT: GE_GERICHTE ATAS/1271/2013 del 19 dicembre 2013</w:t>
      </w:r>
    </w:p>
    <w:p>
      <w:pPr>
        <w:pStyle w:val="Heading2"/>
      </w:pPr>
      <w:r>
        <w:t>Erwägungen</w:t>
      </w:r>
    </w:p>
    <w:p>
      <w:r>
        <w:rPr>
          <w:b/>
        </w:rPr>
        <w:t>E. 1</w:t>
      </w:r>
    </w:p>
    <w:p>
      <w:r>
        <w:t>La recevabilité du recours a été examinée dans la décision incidente du 30 septembre 2013. Il n’y a pas lieu d’y revenir.</w:t>
      </w:r>
    </w:p>
    <w:p>
      <w:r>
        <w:rPr>
          <w:b/>
        </w:rPr>
        <w:t>E. 2</w:t>
      </w:r>
    </w:p>
    <w:p>
      <w:r>
        <w:t>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 118 V 289 consid. 1b et les références) et adéquate avec l'événement assuré (ATF 125 V 461 consid. 5a et les références). Le droit à des prestations découlant d'un accident assuré suppose,</w:t>
      </w:r>
    </w:p>
    <w:p>
      <w:r>
        <w:t>A/3203/2012 - 8/13 -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L'admission d'un rapport de causalité naturelle entre une atteinte à la santé et un accident assuré n'implique pas que cet accident soit une cause prépondérante ou exclusive de l'atteinte à la santé, ni qu'il en soit une cause directe; il suffit que l'accident ait contribué, avec d'autres facteurs, à la survenance de l'atteinte à la santé (ATF non publié 8C_433/2008 du 11 mars 2009).</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 et les références; FRESARD, L'assurance-accidents obligatoire, in : Schweizerisches Bundesverwaltungsrecht, n. 39).</w:t>
      </w:r>
    </w:p>
    <w:p>
      <w:r>
        <w:rPr>
          <w:b/>
        </w:rPr>
        <w:t>E. 3</w:t>
      </w:r>
    </w:p>
    <w:p>
      <w:r>
        <w:t>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w:t>
      </w:r>
    </w:p>
    <w:p>
      <w:r>
        <w:t>A/3203/2012 - 9/13 -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du 18 novembre 2005, U 80/05). Il incombe à l'assuré d'établir, au degré de vraisemblance prépondérante, l'existence d'un rapport de causalité entre l'état pathologique qui se manifeste à nouveau et l'accident (cf. ATFA non publié U 293/01 du 17 mai 2002, consid. 1, résumé dans REAS 2002 p. 307). Plus le temps écoulé entre l'accident et la manifestation de l'affection est long, plus les exigences quant à la preuve d'un rapport de causalité doivent être sévères (RAMA 1997 n° U 275 p. 191 consid. 1c).</w:t>
      </w:r>
    </w:p>
    <w:p>
      <w:r>
        <w:rPr>
          <w:b/>
        </w:rPr>
        <w:t>E. 4</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w:t>
      </w:r>
    </w:p>
    <w:p>
      <w:r>
        <w:t>A/3203/2012 - 10/13 - c) Sans remettre en cause le principe de la libre appréciation des preuves, le Tribunal fédéral des assurances a posé des lignes directrices en ce qui concerne la manière d'apprécier certains types d'expertises ou de rapports médicaux. Ainsi, une expertise médicale établie sur la base d'un dossier peut avoir valeur probante pour autant que celui-ci contienne suffisamment d'appréciations médicales qui, elles, se fondent sur un examen personnel de l'assuré (cf. RAMA 2001 n° U 438 p. 346 consid. 3d).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ATFA non publié du 19 mars 2004, I 751/03 consid. 3.3, RAMA 1985 p. 240 consid. 4).</w:t>
      </w:r>
    </w:p>
    <w:p>
      <w:r>
        <w:rPr>
          <w:b/>
        </w:rPr>
        <w:t>E. 5</w:t>
      </w:r>
    </w:p>
    <w:p>
      <w:r>
        <w:t>En l’espèce, le recourant est d’avis que les lésions à l’épaule sont en lien de causalité avec l’accident du 3 septembre 2010. Il se fonde sur l’avis du Dr D__________, lequel pose un diagnostic de lésion de type SLAP II correspondant à une désinsertion du labrum au sommet de la glène. L’intimée se fonde sur l’expertise du Dr G__________, lequel considère qu’il s’agit d’une contusion simple de l’épaule droite avec statut quo sine quatre mois plus tard. Chacun des deux orthopédistes s’est prononcé sur l’avis de son confrère, sans toutefois qu’ils ne modifient leur position. Même si le Dr D__________ n’a pas effectué, au contraire du Dr G__________, une expertise, celui-là est aussi un spécialiste orthopédique et a eu l’occasion de faire plusieurs publications sur la lésion de type SLAP. De surcroît, il a opéré le recourant et a pu procéder à des constats, avant et pendant l’opération. Ses explications sont donc aussi pertinentes.</w:t>
      </w:r>
    </w:p>
    <w:p>
      <w:r>
        <w:t>A/3203/2012 - 11/13 - La chambre de céans estime en conséquence ne pas pouvoir trancher la controverse entre les praticiens. Il apparait ainsi nécessaire de mettre en œuvre une expertise judiciaire afin de clarifier les aspects médicaux du cas.</w:t>
      </w:r>
    </w:p>
    <w:p>
      <w:r>
        <w:rPr>
          <w:b/>
        </w:rPr>
        <w:t>E. 6</w:t>
      </w:r>
    </w:p>
    <w:p>
      <w:r>
        <w:t>Il y a ainsi lieu d'ordonner une expertise médicale. Compte tenu des atteintes à la santé du recourant, les compétences d'un orthopédiste sont requises. Les parties n'ont pas formulé d'objections au choix du médecin proposé, à savoir le Dr I__________, orthopédiste.</w:t>
      </w:r>
    </w:p>
    <w:p>
      <w:r>
        <w:rPr>
          <w:b/>
        </w:rPr>
        <w:t>E. 7</w:t>
      </w:r>
    </w:p>
    <w:p>
      <w:r>
        <w:t>Les modifications aux questions proposées par l’intimée seront ajoutées. Les questions relatives à l’anamnèse, aux plaintes subjectives ainsi qu’aux constatations objectives n’avaient pas été mentionnées, dès lors qu’il appartenait de toute façon à l’expert de les traiter. Elles peuvent être ajoutées, étant inhérentes à l’expertise. La précision « résultant de séquelles en relation de causalité avec l’accident » était déjà, implicitement, contenue dans les questions 8 et suivantes, puisque l’expert ne devait y répondre que « dans l’hypothèse où vous admettez des séquelles en relation de causalité au moins probables avec l’accident ». Les questions peuvent donc être complétées. Pour le surplus les développements demandés (notamment sur l’atteinte à l’intégrité) sont pertinents et seront ajoutés.</w:t>
      </w:r>
    </w:p>
    <w:p>
      <w:r>
        <w:t>PAR CES MOTIFS, LA CHAMBRE DES ASSURANCES SOCIALES : Statuant préparatoirement :</w:t>
      </w:r>
    </w:p>
    <w:p>
      <w:r>
        <w:t>1. Ordonne une expertise orthopédique, l’expert ayant pour mission d’examiner Monsieur N___________, après s’être entouré de tous les éléments utiles et après avoir pris connaissance du dossier de l’intimé, ainsi que du dossier de la présente procédure en s’entourant d’avis de tiers au besoin, notamment des médecins- traitants ; 2. Charge l’expert de répondre aux questions suivantes :</w:t>
      </w:r>
    </w:p>
    <w:p>
      <w:r>
        <w:t>1) Anamnèse 2) Plaintes subjectives 3) Constatations objectives 4) Quelles atteintes diagnostiquez-vous à l'épaule droite?</w:t>
      </w:r>
    </w:p>
    <w:p>
      <w:r>
        <w:t>A/3203/2012 - 12/13 - 5) L'accident, tel qu'il a été décrit (réception sur l'épaule d'un chariot d'environ 53kg), était-il propre à provoquer les lésions constatées à l'épaule droite? Était-il propre à causer un SLAP II?</w:t>
      </w:r>
    </w:p>
    <w:p>
      <w:r>
        <w:t>3) Un SLAP II provoque-t-il des lésions très douloureuses impliquant une incapacité de travail immédiate? 6) Lesquelles des pathologies diagnostiquées à l'épaule sont dans un rapport de causalité avec l'accident? Pour ces pathologies, le lien de causalité est-il possible (moins de 50%), probable (plus de 50%) ou certain (100%)? 7) Quand le statu quo ante vel sine a-t-il été atteint après l'accident? 8) Quel est votre pronostic? 9) Comment vous déterminez-vous sur l'expertise du Dr G__________ du 13 juillet 2012 et son rapport du 3 juillet 2013 à l’attention du Tribunal, ainsi que l'appréciation du Dr D__________, notamment son courrier du 29 avril 2013 ?</w:t>
      </w:r>
    </w:p>
    <w:p>
      <w:r>
        <w:t>Dans l'hypothèse où vous admettez des séquelles en relation de causalité avec l'accident au moins probables avec l'accident:</w:t>
      </w:r>
    </w:p>
    <w:p>
      <w:r>
        <w:t>10) a) L'état de santé est-il également influencé par des facteurs étrangers à l'accident tels que maladie, état maladif antérieur, autres facteurs étrangers non accidentels ou suite d’accident précédent et, si oui, lesquels?</w:t>
      </w:r>
    </w:p>
    <w:p>
      <w:r>
        <w:t>b) Quel est le degré d’influence (%) de ces facteurs étrangers ? 11) Une erreur de traitement a-t-il été commise? Laquelle ? Avec quelles conséquences ? 12) Quelles sont les limitations fonctionnelles consécutives aux séquelles d'accident? 13) Quelle est la capacité de travail de l'assuré s’agissant des séquelles en relation de causalité avec l’accident dans l'activité précédente et dans une activité adaptée? Depuis quand ? Quelles activités adaptées entrent en ligne de compte? 14) Les séquelles en relation de causalité avec l’accident peuvent-elles être améliorées par un traitement médical et, si oui, par quel traitement? 15) En cas d'incapacité de travail partielle résultant de séquelles en relation de causalité avec l’accident, l'assuré a-t-il besoin de manière durable d'un traitement ou de soins pour conserver sa capacité de travail résiduelle et, si oui, de quel traitement et à quelle fréquence?</w:t>
      </w:r>
    </w:p>
    <w:p>
      <w:r>
        <w:t>A/3203/2012 - 13/13 - 16) En cas d'incapacité de gain résultant de séquelles en relation de causalité avec l’accident, l'assuré a-t-il besoin de mesures médicales pour améliorer notablement l'état de santé ou pour empêcher qu'il subisse une notable détérioration? 15) L'assuré subit-il une atteinte à l'intégrité et, si oui, de quel pourcentage?</w:t>
      </w:r>
    </w:p>
    <w:p>
      <w:r>
        <w:t>L’assuré souffre-t-il d’une atteinte importante (altération évidente ou grave) et durable (prévisible qu’elle subsistera avec au moins la même gravité pendant toute la vie) de son intégrité physique ou mentale ?</w:t>
      </w:r>
    </w:p>
    <w:p>
      <w:r>
        <w:t>Cas échéant, quel pourcentage correspond à cette atteinte selon l’annexe 3 de l’OLAA ?</w:t>
      </w:r>
    </w:p>
    <w:p>
      <w:r>
        <w:t>Chiffrer l’éventuelle part d’atteinte à l’intégrité résultant de facteurs étrangers à l’accident ? 16) Faire toutes autre remarques ou suggestions utiles. 3. Commet à ces fins le Dr I__________, orthopédiste ; 4. Invite l’expert à déposer le plus rapidement possible un rapport en trois exemplaires à la Cour de céans ; 5. Réserve le fond.</w:t>
      </w:r>
    </w:p>
    <w:p>
      <w:r>
        <w:t>La greffière</w:t>
      </w:r>
    </w:p>
    <w:p>
      <w:r>
        <w:t>Brigitte BABEL</w:t>
      </w:r>
    </w:p>
    <w:p>
      <w:r>
        <w:t>La présidente</w:t>
      </w:r>
    </w:p>
    <w:p>
      <w:r>
        <w:t>Francine PAYOT ZEN- RUFFINEN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