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ATAS/1270/2012 vom 22. Oktober 2012</w:t>
      </w:r>
    </w:p>
    <w:p>
      <w:r>
        <w:t>GE Cour de justice, 2012-10-22, FR</w:t>
      </w:r>
    </w:p>
    <w:p>
      <w:r>
        <w:rPr>
          <w:b/>
        </w:rPr>
        <w:t xml:space="preserve">Quelle: </w:t>
      </w:r>
      <w:r>
        <w:t>https://mcp.opencaselaw.ch/entscheid/ge_gerichte_ATAS_1270_2012</w:t>
      </w:r>
    </w:p>
    <w:p>
      <w:r>
        <w:t>FR: GE_GERICHTE ATAS/1270/2012 du 22 octobre 2012</w:t>
      </w:r>
    </w:p>
    <w:p>
      <w:r>
        <w:t>IT: GE_GERICHTE ATAS/1270/2012 del 22 ottobre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A/1531/2012 - 9/13 -</w:t>
      </w:r>
    </w:p>
    <w:p>
      <w:r>
        <w:rPr>
          <w:b/>
        </w:rPr>
        <w:t>E. 2</w:t>
      </w:r>
    </w:p>
    <w:p>
      <w:r>
        <w:t>La LPGA, entrée en vigueur le 1er janvier 2003, est applicable. Sur le plan cantonal, l'art. 1A LPCC prévoit qu'en cas de silence de la loi, la LPC et ses dispositions d'exécution fédérales et cantonales, ainsi que la LPGA et ses dispositions d'exécution, sont applicables par analogie.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Vu les faits pertinents de la cause, le bien fondé de la décision de l'intimé sera examiné au regard de la LPC et de la LPCC dans leur version applicable dès le 1er janvier 2008, respectivement le 1er janvier 2010.</w:t>
      </w:r>
    </w:p>
    <w:p>
      <w:r>
        <w:rPr>
          <w:b/>
        </w:rPr>
        <w:t>E. 3</w:t>
      </w:r>
    </w:p>
    <w:p>
      <w:r>
        <w:t>Le recours déposé dans le délai légal est recevable (art. 60 LPGA).</w:t>
      </w:r>
    </w:p>
    <w:p>
      <w:r>
        <w:rPr>
          <w:b/>
        </w:rPr>
        <w:t>E. 4</w:t>
      </w:r>
    </w:p>
    <w:p>
      <w:r>
        <w:t>Le litige porte sur le bien fondé de la décision sur opposition du 3 mai 2012, confirmant la décision de restitution de 10'500 fr., respectivement 3'653 fr. après compensation, et l'établissement du droit rétroactif d'un montant de 22'396 fr.</w:t>
      </w:r>
    </w:p>
    <w:p>
      <w:r>
        <w:rPr>
          <w:b/>
        </w:rPr>
        <w:t>E. 5</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Le prélèvement de cotisations patronales est exclu (al. 2). L’art. 4 al. 1er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L’al. 3 de l’art. 10 LPC dispose que sont reconnus comme dépenses les frais d’obtention du revenu, jusqu’à concurrence du revenu brut de l’activité lucrative (let. a), les frais d’entretien des bâtiments et les intérêts hypothécaires, jusqu’à concurrence du rendement brut de l’immeuble (let. b), les cotisations aux</w:t>
      </w:r>
    </w:p>
    <w:p>
      <w:r>
        <w:t>A/1531/2012 - 10/13 -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w:t>
      </w:r>
    </w:p>
    <w:p>
      <w:r>
        <w:rPr>
          <w:b/>
        </w:rPr>
        <w:t>E. 6</w:t>
      </w:r>
    </w:p>
    <w:p>
      <w:r>
        <w:t>Au niveau cantonal, l''art. 2 al. 1 LPCC prévoit qu'ont droit aux prestations complémentaires cantonales les personnes qui ont leur domicile et leur résidence habituelle sur le territoire de la République et canton de Genève (let. a), et qui sont au bénéfice d'une rente de l'assurance vieillesse et survivants, d'une rente de l'assurance invalidité, d'une allocation pour impotent de l'assurance invalidité ou reçoivent sans interruption pendant au moins 6 mois une indemnité journalière de l'assurance invalidité (let. b) ou qui ont droit à des prestations complémentaires fédérales sans être au bénéfice d’une rente de l’assurance-vieillesse et survivants ou de l’assurance-invalidité (let. c) et qui répondent aux autres conditions de la présente loi (let. d). A teneur de l'art. 4 LPCC, ont droit aux prestations complémentaires cantonales les personnes dont le revenu annuel déterminant n’atteint pas le revenu minimum cantonal d’aide sociale applicable. L'art. 5 LPCC prévoit que le revenu déterminant est calculé conformément aux règles fixées dans la loi fédérale et ses dispositions d'exécution, moyennant les adaptations suivantes les prestations complémentaires fédérales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(let.b); En dérogation à l'article 11, alinéa 1, lettre c, de la loi fédérale, la part de la fortune nette prise en compte dans le calcul du revenu déterminant est de un huitième, respectivement de un cinquième pour les bénéficiaires de rentes de vieillesse, et ce après déduction (let. c) des franchises prévues par cette disposition (ch. 1), du montant des indemnités en capital obtenues à titre de dommages et intérêts en réparation d'un préjudice corporel, y compris l'indemnisation éventuelle du tort moral (ch. 2).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7</w:t>
      </w:r>
    </w:p>
    <w:p>
      <w:r>
        <w:t>À teneur de l’art. 25 LPGA, auquel correspond l'art. 24 al. 1 LPCC, les prestations indûment touchées doivent être restituées, la restitution ne pouvant toutefois être</w:t>
      </w:r>
    </w:p>
    <w:p>
      <w:r>
        <w:t>A/1531/2012 - 11/13 -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C 264/05 du 25 janvier 2006, consid. 2.1).</w:t>
      </w:r>
    </w:p>
    <w:p>
      <w:r>
        <w:rPr>
          <w:b/>
        </w:rPr>
        <w:t>E. 8</w:t>
      </w:r>
    </w:p>
    <w:p>
      <w:r>
        <w:t>En l'espèce, la recourante a déclaré en audience de comparution des parties avoir besoin des prestations complémentaires. Elle a cependant principalement contesté le fait d'avoir été mise au bénéfice d'une rente d'invalidité, question qui sort manifestement de l'objet du présent litige. Elle ne conteste en revanche pas le calcul de l'intimé, ni les compensations effectuées, mais requiert la remise du montant à restituer. Il convient de constater que la demande de remise ne peut être examinée qu'ultérieurement, une fois la décision de restitution entrée en force (art. 4 OPGA). Quant à la décision de restitution, la recourante ne fait valoir aucun grief à son encontre, de sorte qu'elle sera confirmée (ATF du 18 septembre 2012, 9C 406/2012). Il sera néanmoins constaté que depuis le 1er janvier 2010, l'intimé tenait compte d'un montant de 500 fr. par mois, soit d'un montant de 6'000 fr. annuel, correspondant à une pension alimentaire, dans les dépenses de la recourante, conformément à l'art. 10 al. 3 let. e LPC. Du 1er janvier 2010 au 30 septembre 2011 (21 mois) l'intimé a ainsi versé des prestations complémentaires pour un montant total de 61'407 fr. Or, PRO INFIRMIS lui a signalé par courriel du 14 mars 2012, que la recourante ne s'était jamais acquittée de cette somme. L'intimé a donc recalculé le droit rétroactif, sans tenir compte de cette dépense, pour la période du</w:t>
      </w:r>
    </w:p>
    <w:p>
      <w:r>
        <w:t>A/1531/2012 - 12/13 - 1er janvier 2010 au 30 septembre 2011 et le montant total des prestations complémentaires s'élevait à 50'907 fr. En comparant ce montant avec celui des prestations déjà versées pour cette période, il apparaissait qu'un montant de 10'500 fr. avait été versé en trop. Ce montant versé en trop correspond à la somme de 500 fr. multipliée par 21 mois. En conséquence, aucun grief ne peut être fait à l'encontre de la décision du 19 mars 2012, confirmée par décision sur opposition du 3 mai 2012. C'est donc avec raison que l'intimé a établi un trop perçu de 10'500 fr. et en a demandé la restitution à la recourante. Concernant l'étendue du droit rétroactif de la recourante, la Cour relève que lorsque l'intimé a rendu sa décision du 9 mars 2011 pour la période du 1er octobre 2011 au 31 mars 2012 (six mois), elle a notamment tenu compte dans les dépenses reconnues de la pension alimentaire à verser. Le montant du droit rétroactif s'élevait alors à 25'396 fr. Ayant appris par PRO INFIRMIS que cette pension alimentaire n'était pas acquittée, l'intimé a donc recalculé le droit rétroactif sans prendre en compte cette dépense et le montant du droit rétroactif était de 22'396 fr. En comparant ce montant avec le précédent, il en résulte une différence de 3'000 fr. qui correspond bien à la somme de 500 fr. multipliée par six mois. Dès lors, aucun grief ne peut être fait à l'encontre du calcul de l'intimé concernant le droit rétroactif de la recourante.</w:t>
      </w:r>
    </w:p>
    <w:p>
      <w:r>
        <w:rPr>
          <w:b/>
        </w:rPr>
        <w:t>E. 9</w:t>
      </w:r>
    </w:p>
    <w:p>
      <w:r>
        <w:t>Eu égard à ce qui précède, le recours doit être rejeté et la demande de remise transmise à l'intimé comme objet de sa compétence.</w:t>
      </w:r>
    </w:p>
    <w:p>
      <w:r>
        <w:rPr>
          <w:b/>
        </w:rPr>
        <w:t>E. 10</w:t>
      </w:r>
    </w:p>
    <w:p>
      <w:r>
        <w:t>La procédure est gratuite.</w:t>
      </w:r>
    </w:p>
    <w:p>
      <w:r>
        <w:t>A/1531/2012 - 13/13 - PAR CES MOTIFS, LA CHAMBRE DES ASSURANCES SOCIALES : Statuant A la forme : 1. Déclare le recours recevable. Au fond : 2. Le rejette. 3. Transmet la demande de remise à l'intimé.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