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ATAS/126/2026 vom 16. Februar 2026</w:t>
      </w:r>
    </w:p>
    <w:p>
      <w:r>
        <w:t>GE Cour de justice, 2026-02-16, FR</w:t>
      </w:r>
    </w:p>
    <w:p>
      <w:r>
        <w:rPr>
          <w:b/>
        </w:rPr>
        <w:t xml:space="preserve">Quelle: </w:t>
      </w:r>
      <w:r>
        <w:t>https://mcp.opencaselaw.ch/entscheid/ge_gerichte_ATAS_126_2026</w:t>
      </w:r>
    </w:p>
    <w:p>
      <w:r>
        <w:t>FR: GE_GERICHTE ATAS/126/2026 du 16 février 2026</w:t>
      </w:r>
    </w:p>
    <w:p>
      <w:r>
        <w:t>IT: GE_GERICHTE ATAS/126/2026 del 16 febbraio 2026</w:t>
      </w:r>
    </w:p>
    <w:p>
      <w:pPr>
        <w:pStyle w:val="Heading2"/>
      </w:pPr>
      <w:r>
        <w:t>Erwägungen</w:t>
      </w:r>
    </w:p>
    <w:p>
      <w:r>
        <w:rPr>
          <w:b/>
        </w:rPr>
        <w:t>E. 11</w:t>
      </w:r>
    </w:p>
    <w:p>
      <w:r>
        <w:t>Il convient donc de déterminer si les recourants se sont rendus coupables d’infraction à l’art. 31 let. a et d LPC et/ou à l’art. 148a CP.</w:t>
      </w:r>
    </w:p>
    <w:p>
      <w:r>
        <w:rPr>
          <w:b/>
        </w:rPr>
        <w:t>E. 11.1</w:t>
      </w:r>
    </w:p>
    <w:p>
      <w:r>
        <w:t>L’art. 148a CP, entré en vigueur le 1er octobre 2016, punit d’une peine privative de liberté d’un an au plus ou d’une peine pécuniaire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 tromperie doit provoquer une erreur (par quoi il faut entendre une représentation erronée ou incomplète de la réalité) auprès de son destinataire ou, si l’erreur est préexistante, conforter ce dernier dans sa vision biaisée de la réalité</w:t>
      </w:r>
    </w:p>
    <w:p>
      <w:r>
        <w:t>A/2629/2025 - 25/28 -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w:t>
      </w:r>
    </w:p>
    <w:p>
      <w:r>
        <w:rPr>
          <w:b/>
        </w:rPr>
        <w:t>E. 11.2</w:t>
      </w:r>
    </w:p>
    <w:p>
      <w:r>
        <w:t>L’art. 31 al. 1 LPC, également applicable à titre de droit cantonal supplétif (art. 45 LPCC), prévoit qu’est puni, à moins qu’il ne s’agisse d’un crime ou d’un délit frappé d’une peine plus élevée par le CP, celui qui, par des indications fausses ou incomplètes, ou de toute autre manière, obtient d’un canton ou d’une institution d’utilité publique, pour lui-même ou pour autrui, l’octroi indu d’une prestation au sens de la LPC (let. a) et celui qui manque à son obligation de communiquer (art. 31 al. 1 LPGA ;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ou la modification de la situation personnelle, médicale ou économique ; il n’est en effet plus question alors d’une escroquerie par omission, mais d’une tromperie active (ATF 140 IV 11 consid. 2.4.1 et consid. 2.4.6 in fine ; voir également l’arrêt du Tribunal fédéral 6B_791/2013 du 3 mars 2014 consid. 3.1.1). L’avis de la modification doit intervenir dès la connaissance des faits, sous la forme d’une seule annonce à l’assureur compétent. La personne concernée doit remplir son obligation personnellement. L’annonce doit intervenir spontanément, et non sur demande de l’assureur (Guy LONGCHAMP, Commentaire LPGA, n. 17 ad art. 31 LPGA)</w:t>
      </w:r>
    </w:p>
    <w:p>
      <w:r>
        <w:t>A/2629/2025 - 26/28 - 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w:t>
      </w:r>
    </w:p>
    <w:p>
      <w:r>
        <w:rPr>
          <w:b/>
        </w:rPr>
        <w:t>E. 11.3</w:t>
      </w:r>
    </w:p>
    <w:p>
      <w:r>
        <w:t>En l’occurrence, il ressort du dossier que les recourants ont annoncé vivre à Genève au moment du dépôt de la demande de prestations. Sur interpellation de l’intimé, ils ont certifié continuer à y vivre jusqu’à la décision litigieuse Or, les éléments au dossier établissent l’absence de résidence effective à Genève depuis de nombreuses années. Il apparaît dès lors que les recourants ont intentionnellement donné de fausses informations et persisté pendant plusieurs années à ne pas communiquer leur changement de situation, dont ils ne pouvaient pas ignorer l’importance pour le droit aux prestations. Compte tenu de ce qui précède, c'est à raison que l'intimé a appliqué le délai de prescription plus long de l'action pénale de sept ans. Au vu de ce qui précède, l’intimé était fondé à demander, le 14 mai 2025, la restitution des prestations – prestations complémentaires cantonales, frais</w:t>
      </w:r>
    </w:p>
    <w:p>
      <w:r>
        <w:t>A/2629/2025 - 27/28 - médicaux et subsides d’assurance-maladie – versés entre le 1er juin 2018 et le 31 décembre 2024. 12. Dans ces circonstances, la décision sur opposition est conforme au droit et le recours à son encontre, mal fondé, sera rejeté.</w:t>
      </w:r>
    </w:p>
    <w:p>
      <w:r>
        <w:rPr>
          <w:b/>
        </w:rPr>
        <w:t>E. 13</w:t>
      </w:r>
    </w:p>
    <w:p>
      <w:r>
        <w:t>Pour le surplus, la procédure est gratuite (art. 61 let. fbis LPGA a contrario et 89H al. 1 LPA).</w:t>
      </w:r>
    </w:p>
    <w:p>
      <w:r>
        <w:t>A/2629/2025 - 28/28 -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