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ATAS/1269/2013 vom 19. Dezember 2013</w:t>
      </w:r>
    </w:p>
    <w:p>
      <w:r>
        <w:t>GE Cour de justice, 2013-12-19, FR</w:t>
      </w:r>
    </w:p>
    <w:p>
      <w:r>
        <w:rPr>
          <w:b/>
        </w:rPr>
        <w:t xml:space="preserve">Quelle: </w:t>
      </w:r>
      <w:r>
        <w:t>https://mcp.opencaselaw.ch/entscheid/ge_gerichte_ATAS_1269_2013</w:t>
      </w:r>
    </w:p>
    <w:p>
      <w:r>
        <w:t>FR: GE_GERICHTE ATAS/1269/2013 du 19 décembre 2013</w:t>
      </w:r>
    </w:p>
    <w:p>
      <w:r>
        <w:t>IT: GE_GERICHTE ATAS/1269/2013 del 19 dicembre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 litige porte sur la restitution de l'effet suspensif au recours.</w:t>
      </w:r>
    </w:p>
    <w:p>
      <w:r>
        <w:rPr>
          <w:b/>
        </w:rPr>
        <w:t>E. 3</w:t>
      </w:r>
    </w:p>
    <w:p>
      <w:r>
        <w:t>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w:t>
      </w:r>
    </w:p>
    <w:p>
      <w:r>
        <w:t>A/3759/2013 - 4/5 -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(ATF 124 V 88 consid. 6a, 117 V 191 consid. 2b et les références; ATFA du 19 septembre 2006, I 439/06). En pareilles circonstances, l'intérêt de l'administration apparaissait généralement prépondérant, puisque dans l'hypothèse où l'assuré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doivent présenter pour l'assuré, un degré de certitude suffisant pour être prises en considération (ATFA du 19 septembre 2006, I 439/06).</w:t>
      </w:r>
    </w:p>
    <w:p>
      <w:r>
        <w:rPr>
          <w:b/>
        </w:rPr>
        <w:t>E. 4</w:t>
      </w:r>
    </w:p>
    <w:p>
      <w:r>
        <w:t>En l'espèce, le recourant sollicite le rétablissement de l'effet suspensif, compte tenu de sa situation financière. Sur le fond, il conteste avoir travaillé durant la période où il était en arrêt de travail suite à son accident, mais confirme avoir, occasionnellement, rendu service à des proches. L’exigence physique de ces travaux est contestée par l’assuré. L'intimée s'oppose au rétablissement de l'effet suspensif. Il relève qu’il est à craindre que la procédure en restitution des prestations versées à tort ne se révèle infructueuse. S’agissant des prévisions sur l’issue du litige, elles ne présentent pas un degré de certitude suffisant pour qu’elles soient prises en considération.</w:t>
      </w:r>
    </w:p>
    <w:p>
      <w:r>
        <w:rPr>
          <w:b/>
        </w:rPr>
        <w:t>E. 5</w:t>
      </w:r>
    </w:p>
    <w:p>
      <w:r>
        <w:t>En l'espèce, les photos prises sur plusieurs jours différents et à deux époques distinctes laissent apparaitre une personne dont la mobilité semble conservée tout comme de nombreux mouvements physiques, y compris le port de charges (planches, lampe, brouette) ou la pousse d’un engin, en l’occurrence d’une tondeuse. La capacité de l'assuré de se déplacer seul, de conduire sa voiture ou sa moto, d’effectuer des travaux de jardinage, même s’ils sont effectués à titre gratuit, confirmés par les photos versées au dossier, rendent vraisemblable que la capacité de gain s'est peut-être améliorée, y compris dans une activité adaptée à d’éventuelles limitations fonctionnelles à analyser. En tout état, il n'apparaît pas, à ce stade de la procédure, que le recourant obtiendra sans aucun doute gain de cause. En d'autres termes, le droit au maintien de tout ou partie de sa rente entière</w:t>
      </w:r>
    </w:p>
    <w:p>
      <w:r>
        <w:t>A/3759/2013 - 5/5 - d'invalidité n'est pas établi avec un degré de certitude suffisant pour restituer l'effet suspensif au recours.</w:t>
      </w:r>
    </w:p>
    <w:p>
      <w:r>
        <w:rPr>
          <w:b/>
        </w:rPr>
        <w:t>E. 6</w:t>
      </w:r>
    </w:p>
    <w:p>
      <w:r>
        <w:t>La requête de restitution de l'effet suspensif est donc rejetée.</w:t>
      </w:r>
    </w:p>
    <w:p>
      <w:r>
        <w:t>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