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ATAS/1267/2014 vom 4. Dezember 2014</w:t>
      </w:r>
    </w:p>
    <w:p>
      <w:r>
        <w:t>GE Cour de justice, 2014-12-04, FR</w:t>
      </w:r>
    </w:p>
    <w:p>
      <w:r>
        <w:rPr>
          <w:b/>
        </w:rPr>
        <w:t xml:space="preserve">Quelle: </w:t>
      </w:r>
      <w:r>
        <w:t>https://mcp.opencaselaw.ch/entscheid/ge_gerichte_ATAS_1267_2014</w:t>
      </w:r>
    </w:p>
    <w:p>
      <w:r>
        <w:t>FR: GE_GERICHTE ATAS/1267/2014 du 4 décembre 2014</w:t>
      </w:r>
    </w:p>
    <w:p>
      <w:r>
        <w:t>IT: GE_GERICHTE ATAS/1267/2014 del 4 dicembre 2014</w:t>
      </w:r>
    </w:p>
    <w:p>
      <w:pPr>
        <w:pStyle w:val="Heading2"/>
      </w:pPr>
      <w:r>
        <w:t>Erwägungen</w:t>
      </w:r>
    </w:p>
    <w:p>
      <w:r>
        <w:rPr>
          <w:b/>
        </w:rPr>
        <w:t>E. 1</w:t>
      </w:r>
    </w:p>
    <w:p>
      <w:r>
        <w:t>Conformément à l'art. 56 V al. 1 let. a ch. 2 de la loi sur l'organisation judiciaire, du 22 novembre 1941 en vigueur jusqu’au 31 décembre 2010 (aLOJ - E 2 05), le Tribunal cantonal des assurances sociales connaissait, en instance unique, des contestations prévues à l'art. 56 de la loi fédérale sur la partie générale du droit des assurances sociales, du 6 octobre 2000 (LPGA - RS 830.1) relatives à la loi fédérale sur l’assurance-invalidité du 19 juin 1959 (LAI -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Le recours interjeté respectant les forme et délai prévus par la loi (art. 56 à 60 LPGA), il y a lieu de le déclarer recevable.</w:t>
      </w:r>
    </w:p>
    <w:p>
      <w:r>
        <w:rPr>
          <w:b/>
        </w:rPr>
        <w:t>E. 3</w:t>
      </w:r>
    </w:p>
    <w:p>
      <w:r>
        <w:t>Est litigieuse en l'espèce la limitation du versement de la rente entière d'invalidité au recourant au 28 février 2011.</w:t>
      </w:r>
    </w:p>
    <w:p>
      <w:r>
        <w:rPr>
          <w:b/>
        </w:rPr>
        <w:t>E. 4</w:t>
      </w:r>
    </w:p>
    <w:p>
      <w:r>
        <w:t>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w:t>
      </w:r>
    </w:p>
    <w:p>
      <w:r>
        <w:t>A/4496/2011 - 15/21 -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5</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6</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w:t>
      </w:r>
    </w:p>
    <w:p>
      <w:r>
        <w:t>A/4496/2011 - 16/21 -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A/4496/2011 - 17/21 -</w:t>
      </w:r>
    </w:p>
    <w:p>
      <w:r>
        <w:rPr>
          <w:b/>
        </w:rPr>
        <w:t>E. 8</w:t>
      </w:r>
    </w:p>
    <w:p>
      <w:r>
        <w:t>Selon la jurisprudence, le bien-fondé d'une décision d'octroi, à titre rétroactif, d'une rente limitée dans le temps doit être examiné à la lumière des conditions de révision du droit à la rente (ATF 125 V 413 consid. 2d p. 418 et les références).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L'art. 17 LPGA n'a pas apporté de modification aux principes jurisprudentiels développés sous le régime de l'ancien art. 41 LAI, en vigueur jusqu'au 31 décembre 2002 (ATF 130 V 343 consid. 3.5).</w:t>
      </w:r>
    </w:p>
    <w:p>
      <w:r>
        <w:rPr>
          <w:b/>
        </w:rPr>
        <w:t>E. 9</w:t>
      </w:r>
    </w:p>
    <w:p>
      <w:r>
        <w:t>Il convient de rappeler que reste seule litigieuse à ce stade de la procédure l’évolution de l’état de santé du recourant et ses répercussions sur sa capacité de travail à compter de décembre 2010. En l'espèce, il convient donc d’examiner si l’état de santé de l’assuré s’est effectivement amélioré au point que, d’une totale incapacité de travail depuis octobre 2008, il aurait recouvré une pleine capacité à exercer une activité dès décembre 2010. Force est de constater que le seul médecin à avoir conclu à une telle amélioration est la Dresse H______. Celle -ci a estimé que la symptomatologie dépressive, grâce à une prise en charge adéquate, s’était progressivement améliorée jusqu’à disparaître. Le médecin du SMR a toutefois totalement omis d’envisager la situation de l’assuré sous l’angle de l’ESPT, pourtant retenu par le Dr G______ et confirmé tant par le Dr J______ que par l’expert judiciaire. A cet égard, on constatera que c’est plus une question de doctrine que d’évaluation médicale à proprement qui oppose ces différents médecins. Le SMR - avec la Dresse H______ - soutient qu’une atteinte, pour être reconnue, doit être diagnostiquée selon la CIM-10 et que le DMS-IV ne ferait pas autorité en matière de « conflit assécurologique ». Cet argument ne résiste pas à l’examen.</w:t>
      </w:r>
    </w:p>
    <w:p>
      <w:r>
        <w:t>A/4496/2011 - 18/21 - A cet égard, il apparaît utile de rappeler que jamais le Tribunal fédéral n’a opéré une telle distinction. Selon la jurisprudence, la reconnaissance de l'existence d'une atteinte à la santé psychique suppose précisément la présence d'un diagnostic émanant d'un expert (psychiatre) et s'appuyant lege artis sur les critères d'un système de classification reconnu, tel le CIM ou le DSM-IV (cf. notamment arrêt 9C_815/2012 consid. 3 ; ATF 130 V 396 consid. 6.3 p. 403; 131 V 49 consid. 1.2 p. 50). Or, tel est bien le cas en l’occurrence. Ce ne sont pas moins de trois psychiatres - le Dr G______, psychiatre traitant, mais aussi le Dr J______, spécialiste en matière d’ESPT et l’expert judiciaire - qui ont conclu à l’existence d’un ESPT invalidant, avec des nuances quant à l’ampleur de l’incapacité de travail en découlant. Tous les médecins spécialistes ont ainsi estimé unanimement que cette attente entraînait une réduction de la capacité de travail au-delà de décembre 2010 -puisque l’expert L______ retient une capacité de 50% - étant précisé qu’il faudrait encore y ajouter une baisse de rendement - et le Dr J______, une capacité réduite à 25%. C’est le lieu de relever que le rapport d’expertise du Dr L______ se fonde sur une anamnèse détaillée, plusieurs entretiens avec le recourant et tient compte des plaintes rapportées par ce dernier. Il a été établi en pleine connaissance du dossier et ses conclusions, dûment motivées, ne laissent pas apparaître de contradiction, contrairement à ce que soutient l’intimé. En effet, l’expert a dûment argumenté ses conclusions, expliquant de manière convaincante pour quelles raisons il préférait se référer en l’occurrence au DMS-IV, en quoi consiste l’atteinte du recourant, pour quelles raisons il convient d’admettre qu’elle s’est manifestée avec un certain temps de latence et quelles sont ses conséquences en termes de capacité de travail. Il y a donc lieu de lui reconnaître pleine valeur probante ce, d'autant plus que l'ensemble des considérations émises par l’expert judiciaire rejoint les conclusions du Dr J______, lequel a également livré un rapport détaillé. On relèvera également que le Dr L______ a répondu de manière détaillée aux reproches formulés par l’intimé et de façon telle à emporter la conviction de la Cour de céans, expliquant, une fois encore, pourquoi il avait préféré se référer au DSM- IV et de quelle manière il avait posé ses diagnostics. Force est donc de constater que l’avis de la Dresse H______ quant à une prétendue amélioration de l’état de santé de l’assuré fin 2010 est tout à fait isolé et démenti par plusieurs spécialistes, aux termes de rapports détaillés et convaincants. La seule divergence entre les Drs J______ et L______ porte sur la capacité de travail résiduelle mais est finalement moindre puisque le premier conclut à une capacité de 25% alors que le second envisage un 50% dont il souligne toutefois qu’il s’agit d’un taux tout à fait théorique, qu’il ne serait envisageable que dans une activité n’exigeant ni concentration soutenue ni mémoire - même de la mémoire de travail -, permettant d’éviter les relations interpersonnelles et toute ambiance stressante. Et même dans ces circonstances idéales, il faudrait tenir compte d’une</w:t>
      </w:r>
    </w:p>
    <w:p>
      <w:r>
        <w:t>A/4496/2011 - 19/21 - diminution supplémentaire de rendement, en raison, notamment, des ralentissements idéique et moteur constatés.</w:t>
      </w:r>
    </w:p>
    <w:p>
      <w:r>
        <w:rPr>
          <w:b/>
        </w:rPr>
        <w:t>E. 10</w:t>
      </w:r>
    </w:p>
    <w:p>
      <w:r>
        <w:t>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w:t>
      </w:r>
    </w:p>
    <w:p>
      <w:r>
        <w:t>A/4496/2011 - 20/21 -</w:t>
      </w:r>
    </w:p>
    <w:p>
      <w:r>
        <w:rPr>
          <w:b/>
        </w:rPr>
        <w:t>E. 11</w:t>
      </w:r>
    </w:p>
    <w:p>
      <w:r>
        <w:t>En l’occurrence, même en admettant - en adoptant l’hypothèse la plus optimiste - que le recourant dispose d’une capacité résiduelle de travail de 40% (50% - 10% de baisse de rendement) dans une activité adaptée, force est de constater que la comparaison entre le revenu qu’il pourrait obtenir dans son activité d’informaticien - soit CHF 106’596.- (8'883.- par mois selon l’Enquête suisse sur la structure des salaires [ESS] 2010, TA1, 62-63) - et celui qu’il pourrait espérer dans une activité simple et répétitive exercée à 50% et compte tenu d’une baisse de rendement de 10% - soit CHF 23'525.- (40901.- par mois, selon ESS 2008 TA1) -, conduit à un degré d’invalidité de 77.93%, suffisant pour sauvegarder son droit à une rente entière d’invalidité. Ainsi, en l’absence d’amélioration avérée survenue en décembre 2010, la rente entière d’invalidité accordée au recourant doit être maintenue au-delà du 28 février 2011. Au vu de ce qui précède, le recours, bien fondé, sera admis. Le recourant, obtenant gain de cause, a droit à des dépens (art. 61 al. 1 let. d et g LPGA).</w:t>
      </w:r>
    </w:p>
    <w:p>
      <w:r>
        <w:t>A/4496/2011 - 21/21 -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