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ATAS/1266/2007 vom 14. November 2007</w:t>
      </w:r>
    </w:p>
    <w:p>
      <w:r>
        <w:t>GE Cour de justice, 2007-11-14, FR</w:t>
      </w:r>
    </w:p>
    <w:p>
      <w:r>
        <w:rPr>
          <w:b/>
        </w:rPr>
        <w:t xml:space="preserve">Quelle: </w:t>
      </w:r>
      <w:r>
        <w:t>https://mcp.opencaselaw.ch/entscheid/ge_gerichte_ATAS_1266_2007</w:t>
      </w:r>
    </w:p>
    <w:p>
      <w:r>
        <w:t>FR: GE_GERICHTE ATAS/1266/2007 du 14 novembre 2007</w:t>
      </w:r>
    </w:p>
    <w:p>
      <w:r>
        <w:t>IT: GE_GERICHTE ATAS/1266/2007 del 14 novembre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Interjeté dans les forme et délai prévus par la loi, le recours est recevable (art. 56 et 60 LPGA).</w:t>
      </w:r>
    </w:p>
    <w:p>
      <w:r>
        <w:rPr>
          <w:b/>
        </w:rPr>
        <w:t>E. 4</w:t>
      </w:r>
    </w:p>
    <w:p>
      <w:r>
        <w:t>Le litige porte sur la question de savoir si la recourante présente une atteinte à la santé ouvrant droit à des prestations de l'assurance-invalidité.</w:t>
      </w:r>
    </w:p>
    <w:p>
      <w:r>
        <w:rPr>
          <w:b/>
        </w:rPr>
        <w:t>E. 5</w:t>
      </w:r>
    </w:p>
    <w:p>
      <w:r>
        <w:t>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w:t>
      </w:r>
    </w:p>
    <w:p>
      <w:r>
        <w:t>A/2169/2007 - 7/12 -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w:t>
      </w:r>
    </w:p>
    <w:p>
      <w:r>
        <w:t>A/2169/2007 - 8/12 -</w:t>
      </w:r>
    </w:p>
    <w:p>
      <w:r>
        <w:rPr>
          <w:b/>
        </w:rPr>
        <w:t>E. 6</w:t>
      </w:r>
    </w:p>
    <w:p>
      <w:r>
        <w:t>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A cet égard,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par ailleurs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il n'est pas contesté que la recourante présente des lombosciatalgies gauches sur troubles statiques et dégénératifs du rachis ainsi qu'un status post laminectomie L4-L5 et L5-S1. Selon son médecin traitant, ces troubles entraînent une incapacité de travail totale dès le 23 mai 2003. L'intimé se fonde sur les conclusions du rapport d'examen bi-disciplinaire pratiqué par le SMR. S'agissant des troubles sensitifs, le Dr D____________, relève que les examens radiologiques à disposition ne confirment pas la présence d'hernie discale, de fibrose postopératoire ou de la persistance du canal lombaire étroit. Les examens électro-neuro-myographique pratiqués les 22 novembre 2004 et 25 septembre 2006 par le Dr C____________ n'ont montré aucun signe de dénervation, hormis des signes dits "irritatifs" au niveau L3. En conséquence, il n'y a pas d'explication radiologique à ces troubles neurologiques. Concernant les limitations fonctionnelles, la recourante doit alterner la position assise et debout, éviter de porter ou soulever régulièrement des charges et le travail en porte-à-faux statique prolongé du tronc. Sur le plan psychiatrique, le médecin traitant a relevé</w:t>
      </w:r>
    </w:p>
    <w:p>
      <w:r>
        <w:t>A/2169/2007 - 9/12 - dans son rapport du 24 janvier 2005 un état dépressif réactionnel modéré. Le psychiatre du SMR, le Dr E____________, a posé quant à lui le diagnostic de dysthymie et conclu que cette affection n'entraîne aucune incapacité de travail. Dans leurs conclusions, les médecins du SMR ont mentionné une incapacité de 100 % du 23 mai 2003 au 12 juin 2004 dans l'activité habituelle, puis de 50 % depuis lors; en revanche, dans une activité adaptée respectant strictement les limitations fonctionnelles, la capacité de travail a toujours été de 100 %, excepté pendant une période postopératoire de trois mois. Le Tribunal de céans constate que les médecins du SMR ont rendu leur rapport sur la base d'un dossier complet, notamment radiologique, qu'ils ont procédé à des examens complets ainsi qu'à une anamnèse détaillée. Les médecins ont pris en compte les plaintes de la recourante, leurs conclusions sont claires et dûment motivées, de sorte qu'elles emportent la conviction du Tribunal de céans. Il y a donc lieu de retenir que la recourante présente une capacité de travail entière dans une activité respectant strictement les limitations fonctionnelles. Le Tribunal de céans admettra cependant une diminution de rendement de 10 %, afin de tenir compte du fait que l'assurée doit alterner les positions assise et debout deux fois par heure et non pas deux par jour comme mentionné par erreur par le Dr G____________ dans le rapport SMR du 16 octobre 2006.</w:t>
      </w:r>
    </w:p>
    <w:p>
      <w:r>
        <w:rPr>
          <w:b/>
        </w:rPr>
        <w:t>E. 8</w:t>
      </w:r>
    </w:p>
    <w:p>
      <w:r>
        <w:t>Reste à déterminer quel est le degré d'invalidité de la recourante lors de l'ouverture du droit éventuel à la rente, soit 2004, en tenant compte d'un statut de personne active. Le revenu d'invalide doit être évalué avant tout en fonction de la situation professionnelle concrète de l'assuré. Le TFA admet la référence au groupe des tableau «A», correspondant aux salaires bruts standardisés, de l'enquête sur la structure des salaires (ESS) de l'Office fédéral de la statistique pour déterminer le revenu qu'on peut raisonnablement exiger d'un invalide en dépit de son atteinte à la santé lorsqu'aucun revenu effectif n'est réalisé (cf. ATF 126 V 76 consid. 3b/aa et bb; 124 V 321; VSI 1999 p. 51), comme c'est le cas en l'occurrence. Il convient en outre de toujours se rapporter à la valeur médiane.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Quant au revenu de personne valide, il se détermine en établissant au degré de la vraisemblance prépondérante ce qu'elle aurait effectivement pu réaliser au moment</w:t>
      </w:r>
    </w:p>
    <w:p>
      <w:r>
        <w:t>A/2169/2007 - 10/12 -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(MEYER- BLASER, Bundesgesetz über die Invalidenversicherung [IVG], 1997, p. 205-206). Ce n'est qu'en présence de circonstances particulières qu'il peut se justifier qu'on s'en écarte et qu'on recoure aux données statistiques résultant de l'ESS éditée par l'Office fédéral de la statistique. Tel sera le cas lorsqu'on ne dispose d'aucun renseignement au sujet de la dernière activité professionnelle de l'assuré (cf. ATFA T. du 23 mai 2000, U 243/99, consid. 2b),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(cf. ATFA L. du 4 septembre 2002, I 774/01), ou rencontrait des difficultés professionnelles en raison d'une dégradation progressive de son état de santé (RCC 1985 p. 662). Il en va de même lorsque le poste de travail de l'assuré avant la survenance de l'atteinte à la santé n'existe plus au moment déterminant de l'évaluation de l'invalidité (sur l'ensemble de la question, cf. ATFA T. du 17 octobre 2003, B 80/01, consid 5.2.2). En l'occurrence, avant son atteinte à la santé, la recourante a travaillé en tant qu'employée de maison pour un salaire de 1'300 fr. par mois de septembre 2001 à octobre 2002, 1'950 fr. de novembre 2002 à mai 2003, puis de 3'000 fr. par mois de dès le mois de juin 2003. Or, manifestement, l'activité exercée par la recourante à son arrivée en Suisse était largement en-dessous de ce à quoi elle aurait pu prétendre, compte tenu de sa formation de niveau universitaire et de son expérience professionnelle à des postes de direction en tant qu'administratrice au sein de sociétés en Colombie. La rémunération perçue ne reflétait pas celle qu'elle aurait pu réaliser en tant que personne valide, de sorte que l'intimé ne pouvait se fonder sur ce salaire. Dans un tel cas en effet, conformément à la jurisprudence rappelée supra, il se justifie de se référer aux données statistiques et de prendre comme salaire de personne valide celui auquel peuvent prétendre, en 2004, les femmes au bénéfice de connaissances professionnelles très spécialisées dans le secteur des services, soit 6'255 fr. par mois. (ESS 2004, p. 53, tableau TA1, chiffres 50-93, niveau de qualification 2). Comme les salaires bruts standardisés tiennent compte d'un horaire de travail de quarante heures, soit une durée hebdomadaire inférieure à la moyenne usuelle dans le secteur tertiaire (41,7 heures, La Vie économique, 3/2006, p. 90, B9.2), il en résulte un revenu sans invalidité de 6'520 fr. 80 ou 78'250 fr. par année. S'agissant du revenu d'invalide, il a y également lieu de se référer aux données statistiques et de prendre en considération le salaire de référence auquel peuvent prétendre les femmes au bénéfice de connaissances très spécialisées (niveau de qualification 2) dans le secteur privé, soit 6'241 fr. par mois (ESS 2004, p. 53, tableau TA1). Après adaptation de ce montant à l'horaire usuel dans les entreprises</w:t>
      </w:r>
    </w:p>
    <w:p>
      <w:r>
        <w:t>A/2169/2007 - 11/12 - en 2004 (41,6 heures, La Vie économique, 3/2006, p. 90, B9.2), le revenu mensuel est de 6'506 fr. 25 ou 78'075 fr. par année. Compte tenu d'une diminution de rendement de 10 % et d'un abattement de 15 % sur le salaire statistique au regard de l'ensemble des circonstances personnelles et professionnelles du cas particulier (ATF 126 V 78 consid. 5), on obtient un revenu d'invalide de 59'727 fr. 40. Comparé au revenu sans invalidité de 78'250 fr., ce montant donne un degré d'invalidité de 23,65 %, insuffisant pour ouvrir droit à une rente. Sur ce point, la décision de l'intimé doit être confirmée. En revanche, un degré d'invalidité de cette importance ouvre droit, le cas échéant, à des mesures de réadaptation et, à tout le moins, à une aide au placement. Il appartiendra à l'intimé d'examiner quelles mesures entrent en considération dans le cas d'espèce et de rendre une décision à cet égard.</w:t>
      </w:r>
    </w:p>
    <w:p>
      <w:r>
        <w:rPr>
          <w:b/>
        </w:rPr>
        <w:t>E. 9</w:t>
      </w:r>
    </w:p>
    <w:p>
      <w:r>
        <w:t>Au vu de ce qui précède, le recours sera partiellement admis.</w:t>
      </w:r>
    </w:p>
    <w:p>
      <w:r>
        <w:rPr>
          <w:b/>
        </w:rPr>
        <w:t>E. 10</w:t>
      </w:r>
    </w:p>
    <w:p>
      <w:r>
        <w:t>La loi fédérale du 16 décembre 2005 modifiant la loi fédérale sur l'assurance- invalidité,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Au vu de l'issue du litige, un émolument de 200 fr. est mis à charge de l'OCAI.</w:t>
      </w:r>
    </w:p>
    <w:p>
      <w:r>
        <w:t>A/2169/2007 - 12/12 -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