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ATAS/1265/2014 vom 4. Dezember 2014</w:t>
      </w:r>
    </w:p>
    <w:p>
      <w:r>
        <w:t>GE Cour de justice, 2014-12-04, FR</w:t>
      </w:r>
    </w:p>
    <w:p>
      <w:r>
        <w:rPr>
          <w:b/>
        </w:rPr>
        <w:t xml:space="preserve">Quelle: </w:t>
      </w:r>
      <w:r>
        <w:t>https://mcp.opencaselaw.ch/entscheid/ge_gerichte_ATAS_1265_2014</w:t>
      </w:r>
    </w:p>
    <w:p>
      <w:r>
        <w:t>FR: GE_GERICHTE ATAS/1265/2014 du 4 décembre 2014</w:t>
      </w:r>
    </w:p>
    <w:p>
      <w:r>
        <w:t>IT: GE_GERICHTE ATAS/1265/2014 del 4 dicembre 2014</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devant la juridiction compétente, le recours est recevable (art. 56V al. 1 let. a ch. 9 LOJ et 60 LPGA).</w:t>
      </w:r>
    </w:p>
    <w:p>
      <w:r>
        <w:rPr>
          <w:b/>
        </w:rPr>
        <w:t>E. 3</w:t>
      </w:r>
    </w:p>
    <w:p>
      <w:r>
        <w:t>Le litige porte sur le bien-fondé de la suspension du droit du recourant à l’indemnité de chômage pour une durée de 23 jours.</w:t>
      </w:r>
    </w:p>
    <w:p>
      <w:r>
        <w:rPr>
          <w:b/>
        </w:rPr>
        <w:t>E. 4</w:t>
      </w:r>
    </w:p>
    <w:p>
      <w:r>
        <w:t>a. A teneur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Selon la jurisprudence, il y a faute propre de l'assuré au sens de l'assurance- chômage, si la survenance du chômage est due à son comportement qui, compte tenu des circonstances et rapports personnels, aurait pu être évité. L'assurance ne saurait prendre en charge le chômage dans ce cas-là (ATF non publié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(Circulaire du Secrétariat d'Etat à l'économie [SECO] relative à l'indemnité de chômage, janvier 2007, n° D18). La suspension du droit à l'indemnité prononcée en raison du chômage dû à une faute de l'assuré, en application de l'art. 44 al. 1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Le chômage est imputable à une faute de l’assuré notamment en cas de violation par celui-ci d’obligations découlant du contrat de travail. Une suspension du droit à l'indemnité ne peut cependant être infligée à l'assuré que si le</w:t>
      </w:r>
    </w:p>
    <w:p>
      <w:r>
        <w:t>A/376/2014 - 6/9 -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ATF non publié 8_C 497/2011 du 4 avril 2012, consid. 4). Aucune suspension pour chômage fautif ne sera prononcée lorsque le comportement de l'assuré est excusable (Circulaire du SECO, n° D22). b. Conformément à l’art. 321a CO, le travailleur exécute avec soin le travail qui lui est confié et sauvegarde fidèlement les intérêts légitimes de l'employeur (al. 1). Pendant la durée du contrat, le travailleur ne doit pas accomplir du travail rémunéré pour un tiers dans la mesure où il lèse son devoir de fidélité et, notamment, fait concurrence à l'employeur (al. 3).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w:t>
      </w:r>
    </w:p>
    <w:p>
      <w:r>
        <w:rPr>
          <w:b/>
        </w:rPr>
        <w:t>E. 5</w:t>
      </w:r>
    </w:p>
    <w:p>
      <w:r>
        <w:t>L’art. 30 al. 3 LACI prévoit notamment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 Selon le Tribunal fédéral,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(ATF 125 V 197 consid. 6a).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w:t>
      </w:r>
    </w:p>
    <w:p>
      <w:r>
        <w:t>A/376/2014 - 7/9 -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w:t>
      </w:r>
    </w:p>
    <w:p>
      <w:r>
        <w:rPr>
          <w:b/>
        </w:rPr>
        <w:t>E. 7</w:t>
      </w:r>
    </w:p>
    <w:p>
      <w:r>
        <w:t>En l'espèce, se pose en premier lieu la question de savoir si le recourant a donné à son ancien employeur un motif de licenciement et s’il est sans travail par sa propre faute. Il convient tout d’abord de relever que les faits reprochés au recourant - avoir quitté son poste de travail avant la fin de son horaire et sans en informer son supérieur - ne sont pas contestés. L’allégation du recourant selon laquelle une telle façon de faire relèverait d’une pratique habituelle n’a pas été établie et paraît peu convaincante dans la mesure où son supérieur a nié l’existence d’une telle pratique et a fait remarquer qu’elle poserait de sérieux problèmes en termes de crédibilité et d’assurances. Peu importe à cet égard que l’assuré ait fait l’objet ou non d’avertissements préalables. Force est de constater qu’il a adopté un comportement que pouvait lui reprocher son employeur et qu’il a ainsi fourni à celui-ci un motif - prétexte ou pas - pour le licencier. Le recourant a donc commis une faute au sens de l’assurance- chômage, justifiant la suspension de son droit aux indemnités.</w:t>
      </w:r>
    </w:p>
    <w:p>
      <w:r>
        <w:rPr>
          <w:b/>
        </w:rPr>
        <w:t>E. 8</w:t>
      </w:r>
    </w:p>
    <w:p>
      <w:r>
        <w:t>Reste à examiner la gravité de cette faute et partant, la durée de la suspension. L’intimée a qualifié la faute commise par le recourant de moyenne et a fixé la durée de la sanction à 23 jours. En conséquence, la durée de la suspension, fixée à 23 jours par l’intimée, n'apparaît pas, en l'occurrence, disproportionnée à la faute commise. A titre comparatif, 31 jours de suspension (faute grave) ont été prononcés à l’encontre d’une conductrice professionnelle licenciée suite à la perte de son permis de conduire pour conduite en état d’ivresse (ATF non publié C 221/01 du 7 novembre 2001 in DTA 2002 n°19 p. 121) ; 31 jours (faute grave) à l’encontre d’un travailleur ayant, malgré</w:t>
      </w:r>
    </w:p>
    <w:p>
      <w:r>
        <w:t>A/376/2014 - 8/9 - plusieurs avertissements, accumulé de nombreux retards (ATF non publié C 207/05 du 31 octobre 2006) ; 25 jours (faute moyenne) à l’encontre d’un assuré licencié pour avoir fait un usage répété de sa messagerie professionnelle à des fins privées et n’y avoir pas mis un terme malgré les avertissements réitérés de son employeur (ATF non publié C 282/00 du 11 janvier 2001) ; 20 jours (faute moyenne) à l’encontre d’un employé ayant refusé d’augmenter son taux de travail (ATF non publié C 254/06 du 26 novembre 2007) ; 19 jours (faute moyenne) à l’encontre d’un travailleur ayant refusé d’accepter une modification exigible de son contrat de travail (ATF non publié C 230/01 du 13 février 2003 in DTA 2003 n°26 p. 248) ; ou encore 16 jours (faute moyenne) à l’encontre d’un salarié qui recevait des communications privées à son bureau et attendait une livraison dans les locaux de son employeur, sans lien avec les activités de ce dernier, faisant ainsi une entorse aux engagements contractuels (ATF non publié 8C_497/2011 du 4 avril 2012). La Cour de céans considère ainsi que l'appréciation de l’intimée n'est pas critiquable et respecte au demeurant le principe de la proportionnalité.</w:t>
      </w:r>
    </w:p>
    <w:p>
      <w:r>
        <w:rPr>
          <w:b/>
        </w:rPr>
        <w:t>E. 9</w:t>
      </w:r>
    </w:p>
    <w:p>
      <w:r>
        <w:t>Pour ces motifs, il y a lieu de confirmer tant la qualification moyenne de la faute du recourant que la durée de la suspension de son droit à l’indemnité de chômage. Eu égard à ce qui précède, le recours est rejeté. Pour le surplus, la procédure est gratuite (art. 61 let. a LPGA).</w:t>
      </w:r>
    </w:p>
    <w:p>
      <w:r>
        <w:t>A/376/2014 - 9/9 -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