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ATAS/1264/2013 vom 23. Dezember 2013</w:t>
      </w:r>
    </w:p>
    <w:p>
      <w:r>
        <w:t>GE Cour de justice, 2013-12-23, FR</w:t>
      </w:r>
    </w:p>
    <w:p>
      <w:r>
        <w:rPr>
          <w:b/>
        </w:rPr>
        <w:t xml:space="preserve">Quelle: </w:t>
      </w:r>
      <w:r>
        <w:t>https://mcp.opencaselaw.ch/entscheid/ge_gerichte_ATAS_1264_2013</w:t>
      </w:r>
    </w:p>
    <w:p>
      <w:r>
        <w:t>FR: GE_GERICHTE ATAS/1264/2013 du 23 décembre 2013</w:t>
      </w:r>
    </w:p>
    <w:p>
      <w:r>
        <w:t>IT: GE_GERICHTE ATAS/1264/2013 del 23 dicembre 2013</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w:t>
      </w:r>
    </w:p>
    <w:p>
      <w:r>
        <w:t>- 11/16-</w:t>
      </w:r>
    </w:p>
    <w:p>
      <w:r>
        <w:t>A/2552/2012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Le recours interjeté respectant les forme et délai prévus par la loi (art. 56 à 60 LPGA), il y a lieu de le déclarer recevable.</w:t>
      </w:r>
    </w:p>
    <w:p>
      <w:r>
        <w:rPr>
          <w:b/>
        </w:rPr>
        <w:t>E. 4</w:t>
      </w:r>
    </w:p>
    <w:p>
      <w:r>
        <w:t>Le litige porte sur le point de savoir si les atteintes à la santé dont souffre le recourant sont invalidantes et ouvrent, le cas échéant, droit à des prestations de l'assurance-invalidité. Se pose en particulier la question de savoir si l'état de santé de l'assuré s'est aggravé depuis la décision initiale du 25 septembre 2007 au point de lui ouvrir désormais droit aux prestations.</w:t>
      </w:r>
    </w:p>
    <w:p>
      <w:r>
        <w:rPr>
          <w:b/>
        </w:rPr>
        <w:t>E. 5</w:t>
      </w:r>
    </w:p>
    <w:p>
      <w:r>
        <w:t>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w:t>
      </w:r>
    </w:p>
    <w:p>
      <w:r>
        <w:t>L'art. 16 LPGA prescrit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définitions de l'incapacité de travail, l'incapacité de gain, l'invalidité, de la méthode de comparaison des revenus et de la révision (de la rente d'invalidité et d'autres prestations durables) contenues dans la LPGA correspondent aux notions précédentes dans l'assurance-invalidité telles que développées à ce jour par la jurisprudence (ATFA I 626/03 du 30 avril 2004).</w:t>
      </w:r>
    </w:p>
    <w:p>
      <w:r>
        <w:rPr>
          <w:b/>
        </w:rPr>
        <w:t>E. 6</w:t>
      </w:r>
    </w:p>
    <w:p>
      <w:r>
        <w:t>L'invalidité est une notion économique et non médicale; ce ne sont donc pas les critères médico-théoriques qui sont déterminants, mais les répercussions de l'atteinte à la santé sur la capacité de gain (cf. par analogie, RAMA 1991 no U 130 p. 272 consid. 3b; voir aussi ATF 114 V 314 consid. 3c).</w:t>
      </w:r>
    </w:p>
    <w:p>
      <w:r>
        <w:t>- 12/16-</w:t>
      </w:r>
    </w:p>
    <w:p>
      <w:r>
        <w:t>A/2552/2012</w:t>
      </w:r>
    </w:p>
    <w:p>
      <w:r>
        <w:t>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7</w:t>
      </w:r>
    </w:p>
    <w:p>
      <w:r>
        <w:t>Parmi les atteintes à la santé psychique qui peuvent, comme les atteintes physiques, provoquer une invalidité, il faut mentionner - outre les affections mentales proprement dites - les anomalies psychiques qui équivalent à des maladies.</w:t>
      </w:r>
    </w:p>
    <w:p>
      <w:r>
        <w:t>On ne considère pas comme des conséquences d'un état psychique maladif, donc pas comme des affections à prendre en charge par l'AI, les diminutions de la capacité de gain que l'assuré pourrait empêcher en faisant preuve de bonne volonté et en travaillant dans une mesure suffisante; la mesure de ce qui est exigible doit être déterminée très objectivement.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déterminant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RCC 1977 p. 169; RCC 1984 p. 356 consid. 1b).</w:t>
      </w:r>
    </w:p>
    <w:p>
      <w:r>
        <w:t>A teneur de la jurisprudence constante, les dépendances comme l’alcoolisme, la pharmacodépendance et la toxicomanie ne constituent pas en elles-mêmes des invalidités au sens de la loi. Une telle dépendance joue en revanche un rôle dans l’assurance-invalidité lorsqu’elle a provoqué une maladie ou un accident qui entraîne une atteinte à la santé physique ou mentale, nuisant à la capacité de gain, ou si elle résulte elle-même d'une atteinte à la santé physique ou mentale ayant valeur de maladie (VSI 2002 p. 32 consid. 2a; VSI 2001 consid. 2b p. 225; VSI 1996 consid. 1a p. 321 et réf. citées; VSI 1996, consid. 1a p. 325; VSI 1996 consid. 2a p. 319).</w:t>
      </w:r>
    </w:p>
    <w:p>
      <w:r>
        <w:t>En d'autres termes, les toxicomanies (syndromes de dépendance comme l'alcoolisme ; RCC 1989 p. 283, 1969 p. 236), l'abus de médicaments (RCC 1964 p. 115), la dépendance aux stupéfiants (RCC 1992 p. 180, 1987 p. 467, 1973 p. 600; Pratique VSI 1996 p. 317, 2001 p. 223, 2002 p. 30), le tabagisme ou l'obésité (RCC 1984 p. 359) ne justifient pas à elles seules une incapacité de travail. Elles peuvent cependant avoir valeur d'invalidité si elles sont elles-mêmes la conséquence ou le symptôme d'une atteinte à la santé physique ou mentale engendrant une invalidité ou si elles sont à l'origine d'une atteinte à la santé physique et/ou mentale importante et durable, comme une lésion cérébrale</w:t>
      </w:r>
    </w:p>
    <w:p>
      <w:r>
        <w:t>- 13/16-</w:t>
      </w:r>
    </w:p>
    <w:p>
      <w:r>
        <w:t>A/2552/2012 organique ou neurologique ou une altération d'origine organique de la personnalité sur le plan affectif (CII N° 1013).</w:t>
      </w:r>
    </w:p>
    <w:p>
      <w:r>
        <w:rPr>
          <w:b/>
        </w:rPr>
        <w:t>E. 8</w:t>
      </w:r>
    </w:p>
    <w:p>
      <w:r>
        <w:t>a) L’instruction des faits d’ordre médical se fonde sur les rapports adressés par le(s) médecin(s) traitant(s) à l’Office AI, les expertises de médecins indépendants de l’institution d’assurance, les examens pratiqués par les centres d’observation médicale de l’AI, les expertises produites par une partie ainsi que les expertises médicales ordonnées par le juge. Dans le cadre de l’évaluation de l’invalidité, la tâche du médecin consiste à porter un jugement sur l’état de santé de l’assuré, à indiquer quelles activités ce dernier est incapable d’exercer et dans quelle mesure. Les données médicales constituent en outre un élément utile pour déterminer quels travaux on peut encore, raisonnablement, exiger de l’assuré (ATF 125 V 261 consid. 4, 115 V 134 consid. 2, 114 V 314 consid. 3c, 105 V 158 consid. 1). b)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w:t>
      </w:r>
    </w:p>
    <w:p>
      <w:r>
        <w:t>- 14/16-</w:t>
      </w:r>
    </w:p>
    <w:p>
      <w:r>
        <w:t>A/2552/2012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Le cas échéant, dater la survenance de l’incapacité de travail durable.</w:t>
      </w:r>
    </w:p>
    <w:p>
      <w:r>
        <w:rPr>
          <w:b/>
        </w:rPr>
        <w:t>E. 10</w:t>
      </w:r>
    </w:p>
    <w:p>
      <w:r>
        <w:t>Les atteintes éventuelles à la santé entraînent-elles une incapacité de travail et à quel taux ? a) dans l'activité précédemment exercée b) dans une autre activité.</w:t>
      </w:r>
    </w:p>
    <w:p>
      <w:r>
        <w:t>Existe-t-il une activité adaptée aux limitations du recourant ? Laquelle ? Y aurait-il diminution de rendement ? Le cas échéant, à partir de quand peut- on exiger de l'assuré une telle activité ?</w:t>
      </w:r>
    </w:p>
    <w:p>
      <w:r>
        <w:rPr>
          <w:b/>
        </w:rPr>
        <w:t>E. 11</w:t>
      </w:r>
    </w:p>
    <w:p>
      <w:r>
        <w:t>Quelle a été l'évolution de l'état de santé de l'assuré dans le temps depuis septembre 2007 et comment a évolué sa capacité de travail ? S’il y a eu aggravation, à quand celle-ci remonte-t-elle précisément ?</w:t>
      </w:r>
    </w:p>
    <w:p>
      <w:r>
        <w:rPr>
          <w:b/>
        </w:rPr>
        <w:t>E. 12</w:t>
      </w:r>
    </w:p>
    <w:p>
      <w:r>
        <w:t>Si votre diagnostic et/ou votre appréciation de la capacité de travail de l'assuré diffèrent des conclusions des autres médecins s'étant déjà exprimés (notamment l’expert O__________ ou les médecins traitants), veuillez en expliquer les raisons.</w:t>
      </w:r>
    </w:p>
    <w:p>
      <w:r>
        <w:rPr>
          <w:b/>
        </w:rPr>
        <w:t>E. 13</w:t>
      </w:r>
    </w:p>
    <w:p>
      <w:r>
        <w:t>La capacité de travail peut-elle être améliorée par des mesures médicales ?</w:t>
      </w:r>
    </w:p>
    <w:p>
      <w:r>
        <w:rPr>
          <w:b/>
        </w:rPr>
        <w:t>E. 14</w:t>
      </w:r>
    </w:p>
    <w:p>
      <w:r>
        <w:t>Pronostic</w:t>
      </w:r>
    </w:p>
    <w:p>
      <w:r>
        <w:rPr>
          <w:b/>
        </w:rPr>
        <w:t>E. 15</w:t>
      </w:r>
    </w:p>
    <w:p>
      <w:r>
        <w:t>Toute remarque utile et proposition de l’expert</w:t>
      </w:r>
    </w:p>
    <w:p>
      <w:r>
        <w:t>5. Invite l’expert à déposer à sa meilleure convenance un rapport en trois exemplaires à la Cour de céans ; 6. Réserve le fond. 7. Fixe aux parties un délai de 10 jours dès réception de la présente pour une éventuelle récusation de l’expert nommé.</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