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ATAS/1263/2020 vom 22. Dezember 2020</w:t>
      </w:r>
    </w:p>
    <w:p>
      <w:r>
        <w:t>GE Cour de justice, 2020-12-22, FR</w:t>
      </w:r>
    </w:p>
    <w:p>
      <w:r>
        <w:rPr>
          <w:b/>
        </w:rPr>
        <w:t xml:space="preserve">Quelle: </w:t>
      </w:r>
      <w:r>
        <w:t>https://mcp.opencaselaw.ch/entscheid/ge_gerichte_ATAS_1263_2020</w:t>
      </w:r>
    </w:p>
    <w:p>
      <w:r>
        <w:t>FR: GE_GERICHTE ATAS/1263/2020 du 22 décembre 2020</w:t>
      </w:r>
    </w:p>
    <w:p>
      <w:r>
        <w:t>IT: GE_GERICHTE ATAS/1263/2020 del 22 dicembre 2020</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38 al. 3 [par renvoi de l’art. 60 al. 2], 56 al. 1 et 60 al. 1 LPGA; art. 9 de la loi cantonale du 14 octobre 1965 sur les prestations fédérales complémentaires à l'assurance-vieillesse et survivants et à l'assurance-invalidité [LPFC; J 4 20] ; art. 43 LPCC).</w:t>
      </w:r>
    </w:p>
    <w:p>
      <w:r>
        <w:rPr>
          <w:b/>
        </w:rPr>
        <w:t>E. 3</w:t>
      </w:r>
    </w:p>
    <w:p>
      <w:r>
        <w:t>Le litige porte sur la question du bien-fondé du refus de remise de l'obligation de la recourante de restituer la somme de CHF 21'889.- pour la période du 1er août 2011 et jusqu’au 31 juillet 2018, étant précisé que la décision sur opposition du 11 avril 2019 de l’intimé confirmant sa décision du 5 juillet 2018 exigeant la restitution dudit montant est entrée en force.</w:t>
      </w:r>
    </w:p>
    <w:p>
      <w:r>
        <w:rPr>
          <w:b/>
        </w:rPr>
        <w:t>E. 4</w:t>
      </w:r>
    </w:p>
    <w:p>
      <w:r>
        <w:t>a. Conformément à l’art. 28 al. 1 LPGA, les assurés et les employeurs doivent collaborer gratuitement à l’exécution des différentes lois sur les assurances sociales. 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(OPC-AVS/AI - RS 831.301), reprend les mêmes règles, en prévoyant que l’ayant droit de PC ou</w:t>
      </w:r>
    </w:p>
    <w:p>
      <w:r>
        <w:t>A/531/2020 - 10/15 - son représentant légal ou, le cas échéant, le tiers ou l'autorité à qui la PC est versée, doit communiquer sans retard à l'organe cantonal compétent tout changement dans la situation personnelle et toute modification sensible dans la situation matérielle du bénéficiaire de la prestation, cette obligation de renseigner valant aussi pour les modifications concernant les membres de la famille de l'ayant droit. b. À teneur de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PC annuelle (al. 1). En principe, le montant du loyer est réparti à parts égales entre toutes les personnes (al. 2). Le Tribunal cantonal des assurances sociales, devenu la chambre de céans, a rappelé que le SPC doit pouvoir se fier aux indications officielles (de l’OCPM), qui constituent dès lors un indice. L'administration ferait toutefois preuve de formalisme excessif si elle ne prenait pas en compte une situation concrète établie et prouvée par pièce (voir par exemple ATF 119 Ia IV ; ATAS/1/2016 du 4 janvier 2016 consid. 5 ; ATAS/410/2008 du 8 avril 2008 ; ATAS/808/2008 du 9 juillet 2008). c. En vertu de l’art. 25 al. 1 LPGA, les prestations indûment touchées doivent être restituées. La restitution ne peut être exigée lorsque l’intéressé était de bonne foi et qu’elle le mettrait dans une situation difficile. Aux termes de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5 al. 1 OPGA, il y a situation difficile, au sens de l'art. 25 al. 1 LPGA, lorsque les dépenses reconnues par la LPC et les dépenses supplémentaires au sens de l'al. 4 sont supérieures aux revenus déterminants selon la LPC. Les deux conditions matérielles de la bonne foi et de la situation difficile sont cumulatives et leur réalisation est nécessaire pour que la remise de l'obligation de restituer soit accordée (ATF 126 V 48 consid. 3c ; arrêt du Tribunal fédéral 9C_16/2019 du 25 avril 2019 consid. 4). d.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indû lorsqu’il les a touchées, pour autant que ce défaut de conscience soit excusable d’après une appréciation objective des circonstances du cas d’espèce (Ueli KIESER, Kommentar zum</w:t>
      </w:r>
    </w:p>
    <w:p>
      <w:r>
        <w:t>A/531/2020 - 11/15 - Bundesgesetz über den Allgemeinen Teil des Sozialversicherungsrechts – ATSG, 2020, n. 65 ad art. 25 LPGA). Il ne suffit donc pas que le bénéficiaire d'une prestation indue ait ignoré qu’il n’y avait pas droit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l’intéressé peut invoquer sa bonne foi si son défaut de conscience du caractère indû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Sylvie PÉTREMAND, in Commentaire romand, LPGA, 2018, n. 66, 67 et 70). Il y a négligence grave quand un ayant droit ne se conforme pas à ce qui peut raisonnablement être exigé d’une personne capable de discernement dans une situation identique et dans les mêmes circonstances (ATF 110 V 176 consid. 3d ; cf. aussi arrêt du Tribunal fédéral 9C_41/2011 du 16 août 2011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op. cit., n. 69 ad art. 25 LPGA). Il faut ainsi en particulier examiner si, en faisant preuve de la vigilance exigible, l’intéressé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w:t>
      </w:r>
    </w:p>
    <w:p>
      <w:r>
        <w:t>A/531/2020 - 12/15 - e. Les directives concernant les prestations complémentaires à l'AVS et à l'AI (ci-après : DPC), valables dès le 1er avril 2011 et dans leur état au 1er janvier 2021, énoncent que si une PC est versée à tort et que l’assuré ne pouvait s’en rendre compte en faisant preuve de l’attention minimale exigible au vu des circonstances et du cas d’espèce, force est d’admettre la bonne foi (DPC 4652.01). À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PC indues ont été acceptées en connaissance de leur caractère indû (DPC 4652.02). Toujours selon ces directives, commet une négligence grave celui qui, lors de la demande de prestation,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(DPC 4652.03, qui se réfère à l’arrêt du Tribunal fédéral 8C_391/2008 du 14 juillet 2008).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l’espèce, les affaires de la recourante, y compris ses rapports avec l’intimé, ont, avec son accord et depuis que l’hospice avait cessé de s’en occuper, soit à tout le moins dès 2004, été gérées par sa fille seule. Selon la jurisprudence constante, les actes de la représentante (ladite fille) étaient opposables à la représentée (l’assurée) comme les siens propres (arrêts du Tribunal fédéral 2C_280/2013, 2C_281/2013 du 6 avril 2013 ; ATAS/1352/2014 du 23 décembre 2014 consid. 5).</w:t>
      </w:r>
    </w:p>
    <w:p>
      <w:r>
        <w:t>A/531/2020 - 13/15 - b. À l’audience, la fille de la recourante a déclaré ne pas avoir annoncé dès 2004 la présence de son mari à leur domicile, car, « dans [sa] tête », il n'avait rien à voir avec sa mère. Elle avait pensé que, depuis que sa mère avait droit à des PC, il n'y avait plus rien à faire. Elle ne se souvenait pas avoir lu l'engagement à informer l'office sans retard de « tout changement de ma situation personnelle, de mes revenus, de mon patrimoine et de mes dépenses », figurant à la fin du formulaire de demande de 1997. Elle pensait – ou comprenait – que les communications – identiques puis similaires –, qui étaient reçues chaque année de la part de l’intimé et qui mentionnaient l'obligation de signaler un changement d'adresse ou la cohabitation avec un tiers, ne concernaient qu’elle-même et sa mère et que l'adresse de son mari chez elles serait communiquée automatiquement au SPC, comme pour toutes les adresses. C’était pour les mêmes motifs qu’elle n’avait pas indiqué la présence de ses deux enfants avant 2018. Cela étant, vu lesdites communications annuelles du SPC, l’intéressée, représentée par sa fille, ne pouvait pas ignorer l'importance que revêtait la communication de toute modification de cadre de vie la concernant, en particulier la cohabitation du mari de ladite fille dès 2004 et des petits-enfants dès 2010 et 2016, et l’obligation d’annoncer au SPC ces nouvelles circonstances. Il était évident que ces cohabitations étaient susceptibles d’avoir une incidence sur la situation économique de l’assurée en lien notamment avec la répartition du paiement du loyer et donc le montant total des dépenses, à prendre en compte par l’intimé (conformément à l’art. 16c OPC-AVS/AI ; dans ce sens ATAS/151/2017 du 28 février 2017 consid 6d). Les explications formulées par la fille de la recourante à l’audience ne justifient pas ces omissions de renseigner l’intimé. La base de données de l’OCPM ne peut pas être assimilée à un registre public, tel que le registre foncier ou le registre du commerce, et on ne peut pas considérer que l’intimé serait réputé avoir connaissance d'emblée de la cohabitation du mari de la fille puis de leurs enfants avec la recourante (ATAS/151/2017 précité consid. 6d ; ATAS/1352/2014 précité consid. 5). Ladite fille ne pouvait raisonnablement pas, sans questionnements plus approfondis auprès de l’intimé, partir du principe, erroné, que l’information concernant les personnes séjournant au domicile de l’assurée se fasse automatiquement entre administrations (OCPM et SPC). Son attention a été attirée à de multiples reprises par lesdites communications sur son obligation de renseigner, et elle aurait dû confronter ces communications avec les décisions de PC qu’elle recevait et qu’il lui incombait de lire en vérifiant l’exactitude des éléments qui servaient de bases au calcul des PC. En cas de doutes, et si la fille de l’intéressée, qui parle et parlait français, avait des doutes quant à ses obligations ou des difficultés de compréhension quant au système d’allocation des PC, il lui appartenait d’en faire part à l’intimé ou de demander de l’aide à des personnes compétentes en matière d’assurances sociales. C’est en vain que la fille de la recourante soutient qu’elle pensait avant 2018 que lesdites communications ne concernaient qu’elle-même et sa mère. Au contraire, le</w:t>
      </w:r>
    </w:p>
    <w:p>
      <w:r>
        <w:t>A/531/2020 - 14/15 - fait qu’elle ait indiqué d’emblée, en 1997, sa domiciliation auprès de sa mère, alors qu’elle-même n’avait pas droit à des PC, aurait dû l’amener à en déduire que la cohabitation de toute nouvelle personne devait aussi être annoncée d’office au SPC. c. Dans ces circonstances, il doit être retenu que la recourante, représentée par sa fille, si elle n’a certes pas eu l’intention malicieuse de dissimuler à l’intimé des circonstances nouvelles qu’elle savait devoir annoncer, a néanmoins omis par négligence grave, au sens développé par la jurisprudence, de communiquer à celui-ci la cohabitation du mari de ladite fille dès 2004 et des petits-enfants dès 2010 et 2016. Cette négligence grave exclut la réalisation de la condition de la bonne foi.</w:t>
      </w:r>
    </w:p>
    <w:p>
      <w:r>
        <w:rPr>
          <w:b/>
        </w:rPr>
        <w:t>E. 7</w:t>
      </w:r>
    </w:p>
    <w:p>
      <w:r>
        <w:t>Vu ce qui précède, c’est à juste titre que l’intimé a retenu que la condition de la bonne foi, première condition pour une remise, n’est pas réalisée. En conséquence, une remise de l’obligation de restituer le trop-perçu de CHF 21’889.- ne peut pas être accordée à la recourante. Il n’est donc pas nécessaire d’examiner la seconde condition, soit l’exposition à une situation difficile, dès lors que ces deux conditions sont cumulatives. Le recours sera en conséquence rejeté.</w:t>
      </w:r>
    </w:p>
    <w:p>
      <w:r>
        <w:rPr>
          <w:b/>
        </w:rPr>
        <w:t>E. 8</w:t>
      </w:r>
    </w:p>
    <w:p>
      <w:r>
        <w:t>La procédure est gratuite (art. 61 let. a LPGA).</w:t>
      </w:r>
    </w:p>
    <w:p>
      <w:r>
        <w:t>******</w:t>
      </w:r>
    </w:p>
    <w:p>
      <w:r>
        <w:t>A/531/2020 - 15/15 -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