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ATAS/1263/2010 vom 16. Dezember 2010</w:t>
      </w:r>
    </w:p>
    <w:p>
      <w:r>
        <w:t>GE Cour de justice, 2010-12-16, FR</w:t>
      </w:r>
    </w:p>
    <w:p>
      <w:r>
        <w:rPr>
          <w:b/>
        </w:rPr>
        <w:t xml:space="preserve">Quelle: </w:t>
      </w:r>
      <w:r>
        <w:t>https://mcp.opencaselaw.ch/entscheid/ge_gerichte_ATAS_1263_2010</w:t>
      </w:r>
    </w:p>
    <w:p>
      <w:r>
        <w:t>FR: GE_GERICHTE ATAS/1263/2010 du 16 décembre 2010</w:t>
      </w:r>
    </w:p>
    <w:p>
      <w:r>
        <w:t>IT: GE_GERICHTE ATAS/1263/2010 del 16 dicembre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confirmée.</w:t>
      </w:r>
    </w:p>
    <w:p>
      <w:r>
        <w:rPr>
          <w:b/>
        </w:rPr>
        <w:t>E. 2</w:t>
      </w:r>
    </w:p>
    <w:p>
      <w:r>
        <w:t>Déposé dans les forme et délai prévus par la loi, la recevabilité du recours est également confirmée (art. 56 à 60 LPGA)</w:t>
      </w:r>
    </w:p>
    <w:p>
      <w:r>
        <w:rPr>
          <w:b/>
        </w:rPr>
        <w:t>E. 3</w:t>
      </w:r>
    </w:p>
    <w:p>
      <w:r>
        <w:t>Il convient de déterminer le droit du recourant à des prestations de l’assurance invalidité. Est notamment litigieux en l’espèce, la détermination du taux d’invalidité, en considération du calcul du revenu avec ou sans invalidité et des</w:t>
      </w:r>
    </w:p>
    <w:p>
      <w:r>
        <w:t>- 10/15-</w:t>
      </w:r>
    </w:p>
    <w:p>
      <w:r>
        <w:t>A/1417/2008 années de référence pour ledit calcul ainsi que la naissance du droit à une éventuelle rente.</w:t>
      </w:r>
    </w:p>
    <w:p>
      <w:r>
        <w:rPr>
          <w:b/>
        </w:rPr>
        <w:t>E. 4</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5</w:t>
      </w:r>
    </w:p>
    <w:p>
      <w:r>
        <w:t>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w:t>
      </w:r>
    </w:p>
    <w:p>
      <w:r>
        <w:t>- 11/15-</w:t>
      </w:r>
    </w:p>
    <w:p>
      <w:r>
        <w:t>A/1417/2008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8</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9</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10</w:t>
      </w:r>
    </w:p>
    <w:p>
      <w:r>
        <w:t>Le Tribunal fédéral a encore précisé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11</w:t>
      </w:r>
    </w:p>
    <w:p>
      <w:r>
        <w:t>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w:t>
      </w:r>
    </w:p>
    <w:p>
      <w:r>
        <w:t>- 12/15-</w:t>
      </w:r>
    </w:p>
    <w:p>
      <w:r>
        <w:t>A/1417/2008 dix-huitième anniversaire de l'assuré (art. 29 al. 2 LAI; ATF 126 V 9 consid. 2b et les références).</w:t>
      </w:r>
    </w:p>
    <w:p>
      <w:r>
        <w:rPr>
          <w:b/>
        </w:rPr>
        <w:t>E. 12</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t>- 13/15-</w:t>
      </w:r>
    </w:p>
    <w:p>
      <w:r>
        <w:t>A/1417/2008</w:t>
      </w:r>
    </w:p>
    <w:p>
      <w:r>
        <w:rPr>
          <w:b/>
        </w:rPr>
        <w:t>E. 13</w:t>
      </w:r>
    </w:p>
    <w:p>
      <w:r>
        <w:t>En l'espèce, suite à un recours à l’encontre de l’arrêt du 22 juin 2009 rendu par le Tribunal de céans, le TF a notamment relevé qu’il incombait aux premiers juges de constater les éléments de faits permettant de retenir une incapacité de travail depuis 1995. Le TF poursuit en relevant qu’à cet égard, aucune administration de preuve ni constatation de faits n’a été effectuée par les juges cantonaux quant à la capacité de travail résiduelle de l’intimé dans son activité habituelle et dans une activité adaptée à ses limitations fonctionnelles ; que s’il ressort du dossier que l’activité de déménageur n’est pas compatible avec les problèmes de santé de l’intimé, celui-ci disposerait d’une pleine capacité résiduelle dans une activité adaptée à ses limitations fonctionnelles ; qu’au vu des éléments du dossier, notamment l’âge de l’intimé, se pose la question, au titre de la réduction du dommage, de la mise en valeur de la capacité de travail dans une activité adaptée.</w:t>
      </w:r>
    </w:p>
    <w:p>
      <w:r>
        <w:rPr>
          <w:b/>
        </w:rPr>
        <w:t>E. 14</w:t>
      </w:r>
    </w:p>
    <w:p>
      <w:r>
        <w:t>Par conséquent, vu la jurisprudence susmentionnée, vu les doutes soulevés par le TF, il y a lieu d'ordonner une expertise rhumatologique du recourant. En application des articles 38 et suivants de la loi sur la procédure administrative (LPA), un délai de 15 jours a été accordé aux parties pour indiquer les questions particulières qu'elles souhaitent voir figurer dans la mission d'expertise, ainsi que pour se déterminer sur le nom de l’expert, à savoir le Dr. P_________, médecin rhumatologue.</w:t>
      </w:r>
    </w:p>
    <w:p>
      <w:r>
        <w:rPr>
          <w:b/>
        </w:rPr>
        <w:t>E. 15</w:t>
      </w:r>
    </w:p>
    <w:p>
      <w:r>
        <w:t>L’OCAI a informé, par courrier du 22 novembre 2010, qu’il n’avait pas d’observation particulière à formuler ni quant au choix de l’expert, ni quant aux questions qui lui seront soumises.</w:t>
      </w:r>
    </w:p>
    <w:p>
      <w:r>
        <w:rPr>
          <w:b/>
        </w:rPr>
        <w:t>E. 16</w:t>
      </w:r>
    </w:p>
    <w:p>
      <w:r>
        <w:t>Pour sa part, le recourant a complété la mission d’expertise par des questions particulières qui ont été intégrées à ladite mission d’expertise.</w:t>
      </w:r>
    </w:p>
    <w:p>
      <w:r>
        <w:rPr>
          <w:b/>
        </w:rPr>
        <w:t>E. 17</w:t>
      </w:r>
    </w:p>
    <w:p>
      <w:r>
        <w:t>Sur la base des considérants du TF, le Tribunal de céans poursuivant l’instruction, ordonne une expertise rhumatologique et, après avoir soumis aux parties la mission d’expertise, la confie au Dr P_________, médecin rhumatologue</w:t>
      </w:r>
    </w:p>
    <w:p>
      <w:r>
        <w:t>- 14/15-</w:t>
      </w:r>
    </w:p>
    <w:p>
      <w:r>
        <w:t>A/1417/2008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