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ATAS/1262/2010 vom 2. Dezember 2010</w:t>
      </w:r>
    </w:p>
    <w:p>
      <w:r>
        <w:t>GE Cour de justice, 2010-12-02, FR</w:t>
      </w:r>
    </w:p>
    <w:p>
      <w:r>
        <w:rPr>
          <w:b/>
        </w:rPr>
        <w:t xml:space="preserve">Quelle: </w:t>
      </w:r>
      <w:r>
        <w:t>https://mcp.opencaselaw.ch/entscheid/ge_gerichte_ATAS_1262_2010</w:t>
      </w:r>
    </w:p>
    <w:p>
      <w:r>
        <w:t>FR: GE_GERICHTE ATAS/1262/2010 du 2 décembre 2010</w:t>
      </w:r>
    </w:p>
    <w:p>
      <w:r>
        <w:t>IT: GE_GERICHTE ATAS/1262/2010 del 2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la forme et le délai prescrits, le recours est recevable (art. 56 et ss LPGA.</w:t>
      </w:r>
    </w:p>
    <w:p>
      <w:r>
        <w:rPr>
          <w:b/>
        </w:rPr>
        <w:t>E. 3</w:t>
      </w:r>
    </w:p>
    <w:p>
      <w:r>
        <w:t>Le litige porte sur la suppression, par voie de révision, respectivement de reconsidération, du droit du recourant à une rente entière d'invalidité, singulièrement sur le point de savoir si l'état de santé et son incidence sur la capacité de travail et sur le taux d'invalidité fondant le droit à la prestation ont subi un changement important.</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w:t>
      </w:r>
    </w:p>
    <w:p>
      <w:r>
        <w:rPr>
          <w:b/>
        </w:rPr>
        <w:t>E. 6</w:t>
      </w:r>
    </w:p>
    <w:p>
      <w:r>
        <w:t>Selon la jurisprudence du Tribunal fédéral (ATF 135 V 215 consid. 4.1et références citées),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en application de l'art. 53 al. 1 LPGA. Lorsqu'une modification de l'état de fait</w:t>
      </w:r>
    </w:p>
    <w:p>
      <w:r>
        <w:t>A/454/2010 - 12/21 -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Enfin, la situation de l'application ultérieure erronée du droit à la suite d'une modification des fondements juridiques déterminants survenue après le prononcé de la décision : cette situation n’est pas réglée par loi, mais a été examinée exhaustivement par le Tribunal fédéral dans sa jurisprudence (modification du droit qui résulte d'une intervention du législateur : ATF 121 V 157 consid. 4a ; d’un changement de jurisprudence : ATF 135 V 215 consid. 5). Dans le cas présent, deux motifs pouvant entraîner la modification du droit à la rente, ont été envisagés par l'OAI. Le premier, qui ressort de la décision entreprise, est la révision au sens de l'art. 17 al. 1 LPGA qui a pour objectif d'adapter le rapport de droit à une modification de l'état de fait déterminante sous l'angle du droit à la prestation. Le second, retenu dans la réponse au recours du 11 mars 2010, est la reconsidération prévue à l'art. 53 al. 2 LPGA et qui vise à corriger une application initiale erronée du droit. Il s'agit donc d'examiner le bien fondé de l'un et de l'autre de ces motifs.</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 ATF 112 V 371 consid. 2b).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t>A/454/2010 - 13/21 - 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w:t>
      </w:r>
    </w:p>
    <w:p>
      <w:r>
        <w:rPr>
          <w:b/>
        </w:rPr>
        <w:t>E. 8</w:t>
      </w:r>
    </w:p>
    <w:p>
      <w:r>
        <w:t>En l'espèce, la décision du 2 février 2010 fait suite à une seconde révision d'office du droit à la rente, la première ayant abouti à la décision du 14 mars 2006, par laquelle l’OAI a établi que le taux d’invalidité de 100% était inchangé. Cette dernière décision repose sur un (nouvel) examen matériel du droit à la rente, tenant en particulier compte du rapport du Dr M_______________ du 8 février 2005 et de l’avis du SMR du 6 mars 2006. Partant, les status ayant fondé la décision du 14 mars 2006 (et non celle du 1er février 2002) ainsi que la décision litigieuse du 10 février 2010 sont déterminants pour la discussion du cas.</w:t>
      </w:r>
    </w:p>
    <w:p>
      <w:r>
        <w:rPr>
          <w:b/>
        </w:rPr>
        <w:t>E. 9</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ordonnée par l’administration ou le juge, la tâche de l'expert étant précisément de mettre ses connaissances spéciales à la disposition de la justice afin de l'éclairer sur les aspects médicaux d'un état de fait donné. Il n'en va différemment que si ces médecins traitants font état d'éléments objectivement vérifiables ayant été ignorés dans le cadre de l'expertise et qui sont suffisamment pertinents pour remettre en cause les conclusions de l'expert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Quant</w:t>
      </w:r>
    </w:p>
    <w:p>
      <w:r>
        <w:t>A/454/2010 - 14/21 -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 arrêts du Tribunal fédéral I 143/07 du 14 septembre 2007 consid. 3.3 et 9C_55/2008 du 26 mai 2008 consid. 4.2,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qui permettent de leur reconnaître pleine valeur probante (ATF 125 V 351 consid. 3a).</w:t>
      </w:r>
    </w:p>
    <w:p>
      <w:r>
        <w:rPr>
          <w:b/>
        </w:rPr>
        <w:t>E. 10</w:t>
      </w:r>
    </w:p>
    <w:p>
      <w:r>
        <w:t>En l'espèce, l’OAI a fondé sa décision principalement sur le rapport d’expertise psychiatrique du 9 octobre 2009, lequel a conclu, en substance, que l’expertisé ne présentait aucune pathologie psychiatrique et que sa capacité de travail était entière. A l’inverse, le médecin traitant est d’avis que son patient souffre toujours à heure actuelle, et depuis de nombreuses années, en particulier d’un trouble dépressif récurrent, totalement incapacitant. D’emblée, il faut constater que le rapport d’expertise ne revêt pas une valeur probante suffisante, dès lors qu’il ne répond pas aux réquisits jurisprudentiels en la matière (ATF 125 V 351 consid. 3a). En effet, le Dr Q_______________ a conclu à l’absence d’état dépressif en l’occurrence sans motiver à satisfaction son point de vue à cet égard, dans la mesure où il n’a pas explicité les raisons pour lesquelles l’état dépressif diagnostiqué antérieurement, de manière convergente, par le médecin traitant, ainsi que par le médecin-conseil de l’OAI (avis du Dr N_______________ du</w:t>
      </w:r>
    </w:p>
    <w:p>
      <w:r>
        <w:rPr>
          <w:b/>
        </w:rPr>
        <w:t>E. 15</w:t>
      </w:r>
    </w:p>
    <w:p>
      <w:r>
        <w:t>Obtenant gain de cause, le recourant, représenté par l’APAS, a droit à l’allocation de dépens, fixés en l'espèce à 2'500 fr. (art. 61 let. g LPGA ; ATF 122 V 278, consid. 3e/aa).</w:t>
      </w:r>
    </w:p>
    <w:p>
      <w:r>
        <w:rPr>
          <w:b/>
        </w:rPr>
        <w:t>E. 16</w:t>
      </w:r>
    </w:p>
    <w:p>
      <w:r>
        <w:t>Conformément à l'art. 69 al. 1bis LAI, un émolument de 700 fr. (tenant compte notamment des recherches du Tribunal de céans mentionnées au § 34) est mis à la charge de l'office intimé, qui succombe.</w:t>
      </w:r>
    </w:p>
    <w:p>
      <w:r>
        <w:t>A/454/2010 - 21/21 -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