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ATAS/1261/2013 vom 17. Dezember 2013</w:t>
      </w:r>
    </w:p>
    <w:p>
      <w:r>
        <w:t>GE Cour de justice, 2013-12-17, FR</w:t>
      </w:r>
    </w:p>
    <w:p>
      <w:r>
        <w:rPr>
          <w:b/>
        </w:rPr>
        <w:t xml:space="preserve">Quelle: </w:t>
      </w:r>
      <w:r>
        <w:t>https://mcp.opencaselaw.ch/entscheid/ge_gerichte_ATAS_1261_2013</w:t>
      </w:r>
    </w:p>
    <w:p>
      <w:r>
        <w:t>FR: GE_GERICHTE ATAS/1261/2013 du 17 décembre 2013</w:t>
      </w:r>
    </w:p>
    <w:p>
      <w:r>
        <w:t>IT: GE_GERICHTE ATAS/1261/2013 del 17 dicembre 2013</w:t>
      </w:r>
    </w:p>
    <w:p>
      <w:pPr>
        <w:pStyle w:val="Heading2"/>
      </w:pPr>
      <w:r>
        <w:t>Erwägungen</w:t>
      </w:r>
    </w:p>
    <w:p>
      <w:r>
        <w:rPr>
          <w:b/>
        </w:rPr>
        <w:t>E. 14</w:t>
      </w:r>
    </w:p>
    <w:p>
      <w:r>
        <w:t>La SUVA a mandaté le Dr N__________, spécialiste FMH en chirurgie plastique et reconstructive de la main, pour expertise. Dans son rapport du 24 mai 2011, l'expert s'est livré à des commentaires sur l'acte d'opposition de l'assurée. Il a également diagnostiqué un status après écrasement de la partie radiale de la main droite, avec plaie lacéro-contuse, ayant causé des lésions musculaires, tendineuse, artérielle et nerveuse et un état séquellaire caractérisé essentiellement par une rétraction de sévérité moyenne de la 1ère commissure (fibrose musculaire), des troubles fonctionnels résiduels, moteurs et accessoirement sensitifs de sévérité modeste. Il a exposé que la main droite pouvait présenter une limitation relative de la dextérité ainsi qu'une diminution de la force pour les tâches mécaniquement répétitives. Il a estimé que les activités encore exigibles de la part de l'assurée étaient nombreuses, sans les citer. Les limitations - dextérité et force - se rapportaient à la seule main droite lésée et elles étaient d'autant plus grandes que les tâches en cause étaient mécaniquement répétitives. Une activité répétitive n'aurait néanmoins une incidence significative en termes de rendement, que si elle impliquait des efforts d'une certaine importance. Toute activité adaptée pouvait être exercée par l'assurée, avec un horaire et un rendement entier. Les postes de travail sélectionnés par la SUVA étaient d'ailleurs adaptés aux séquelles accidentelles présentées par l'assurée. En particulier, les activités d'employée de bureau, téléphoniste, hôtesse d'accueil et opératrice de saisie pouvaient être exercées sans limitation. Les postes de collaboratrice de production, réception de pièces et comptage pouvaient présenter une légère limitation, sans qu'il soit possible de la quantifier avec précision et de manière fondée. Le taux d'atteinte à l'intégrité, fixé à 8% par la SUVA, semblait réaliste et peut être même un peu généreux. Le taux de 20% allégué par l'assurée était au contraire totalement hors de proportion. S'agissant du pronostic, il n'apparaissait pas qu'à moyen ou à long terme l'accident du 4 mai 2006 entraînerait un risque de péjoration ou de complication.</w:t>
      </w:r>
    </w:p>
    <w:p>
      <w:r>
        <w:t>A/4499/2011 - 5/14 -</w:t>
      </w:r>
    </w:p>
    <w:p>
      <w:r>
        <w:rPr>
          <w:b/>
        </w:rPr>
        <w:t>E. 15</w:t>
      </w:r>
    </w:p>
    <w:p>
      <w:r>
        <w:t>Par détermination du 13 octobre 2011, l'assurée a estimé que le rapport d'expertise ne répondait en aucun égard aux critères jurisprudentiels en matière d'expertise médicale, de sorte qu'il ne devait pas être pris en considération dans la détermination de son degré d'invalidité et de l'atteinte à l'intégrité subie.</w:t>
      </w:r>
    </w:p>
    <w:p>
      <w:r>
        <w:rPr>
          <w:b/>
        </w:rPr>
        <w:t>E. 16</w:t>
      </w:r>
    </w:p>
    <w:p>
      <w:r>
        <w:t>Par décision sur opposition du 18 novembre 2011, la SUVA a confirmé sa position. Elle a considéré que l'expertise du 24 mai 2011 avait été réalisée en conformité des règles de l'art, dès lors qu'elle se fondait sur un examen clinique exhaustif de la main droite de l'assurée, qu'elle tenait compte des plaintes exprimées par l'expertisée, qu'elle avait été établie en pleine connaissance de l'anamnèse, que la description du contexte médical et l'appréciation médicale étaient claires. Il convenait dès lors d'accorder pleine valeur probante à cette expertise et de considérer que l'assurée pouvait exercer une activité adaptée à son état à plein temps et sans diminution de rendement. S'agissant de l'abattement de 15%, la SUVA a précisé qu'il ne se justifiait pas, dès lors que les postes de travail considérés tenaient déjà compte de la situation particulière de l'assurée. Par ailleurs, le salaire réalisable sans invalidité avait été déterminé en fonction des informations recueillies auprès de l'employeur de l'assurée et calculé sur l'année de référence du revenu d'invalide. Concernant enfin la quotité de l'indemnité pour atteinte à l'intégrité, l'expert l'avait jugée réaliste, voire généreuse. Si l'assurée en contestait le taux, elle n'apportait pas d'élément permettant de remettre en cause l'appréciation du Dr L___________, de sorte que le taux de l'indemnité pour atteinte à l'intégrité devait, de même que le degré d'invalidité, être confirmé.</w:t>
      </w:r>
    </w:p>
    <w:p>
      <w:r>
        <w:rPr>
          <w:b/>
        </w:rPr>
        <w:t>E. 17</w:t>
      </w:r>
    </w:p>
    <w:p>
      <w:r>
        <w:t>Le 23 décembre 2011, l'assurée a interjeté recours par devant la Chambre des assurances sociales de la Cour de Justice (ci-après : la Chambre de céans) contre cette décision, concluant à son annulation, au retrait de l'expertise du Dr N__________ de son dossier, à l'octroi d'une indemnité pour atteinte à l'intégrité basée sur un taux de 20%, à l'octroi d'une rente d'invalidité basée sur un degré d'invalidité de 72% dès le 1er septembre 2009 et à l'allocation de frais et dépens de procédure. À titre subsidiaire, elle a demandé la mise en œuvre d'une nouvelle expertise médicale, si le rapport du Dr M__________ devait être considéré comme insuffisant pour trancher les questions de son invalidité et de l'indemnité pour atteinte à l'intégrité. Elle a rappelé que l'expert avait eu des a priori et avait utilisé un langage particulièrement offensif dans le cadre de son rapport. S'agissant de son contenu, l'expertise ne contenait ni anamnèse, ni discussion des avis médicaux antérieurs. Elle ne comportait pas non plus d'informations nécessaires pour déterminer son droit aux prestations, de sorte qu'il se justifiait de se référer aux avis médicaux antérieurs et plus particulièrement à celui du Dr M__________ du 29 octobre 2009 qui reposait sur un examen médical circonstancié et était plus récent que celui du Dr L___________. Elle a allégué que, conformément au rapport de son médecin-traitant, sa capacité résiduelle de travail dans une activité adaptée était de 60% au maximum. Les activités proposées par l'intimée n'apparaissaient pas adaptées, dans la mesure où une utilisation de sa main droite était attendue. Il se</w:t>
      </w:r>
    </w:p>
    <w:p>
      <w:r>
        <w:t>A/4499/2011 - 6/14 - justifiait dès lors de procéder à un abattement de 15% sur le revenu d'invalide considéré, pour tenir compte de ses limitations fonctionnelles. Le montant de 4'900 fr. retenu par l'intimée à titre de revenu sans invalidité ne correspondait d'ailleurs pas au salaire mensuel brut moyen dans la branche d'édition, d'impression et de reproduction, fixé à 6'444 fr. en 2008 selon l'Office fédéral de la statistique. Son taux d'invalidité atteignait ainsi les 72%. S'agissant de la quotité de son indemnité pour atteinte à l'intégrité, les constatations du Dr L___________ étaient imprécises et incohérentes, dans la mesure où il concluait à un taux de 8%, alors même qu'il avait considéré qu'il y avait une perte de la force et de l'endurance de la main droite. Le Dr M__________ fixait quant à lui la perte de la force à 50% et la diminution de rendement à 40%, de sorte que la perte de fonctionnalité s'élevait environ à 50%, soit un taux d'atteinte à l'intégrité de 20% (50% de 40%).</w:t>
      </w:r>
    </w:p>
    <w:p>
      <w:r>
        <w:rPr>
          <w:b/>
        </w:rPr>
        <w:t>E. 18</w:t>
      </w:r>
    </w:p>
    <w:p>
      <w:r>
        <w:t>Dans sa réponse du 23 février 2012, l'intimée a conclu au rejet du recours.</w:t>
      </w:r>
    </w:p>
    <w:p>
      <w:r>
        <w:rPr>
          <w:b/>
        </w:rPr>
        <w:t>E. 19</w:t>
      </w:r>
    </w:p>
    <w:p>
      <w:r>
        <w:t>Considérant que l’expertise du Dr N__________ ne pouvait se voir accorder valeur probante, la Chambre de céans en a conclu qu’elle disposait pas des éléments suffisants pour statuer de manière définitive sur les conséquences de l’état de santé de la recourante, sur sa capacité de travail et sur l’étendue de son atteinte à l’intégrité.</w:t>
      </w:r>
    </w:p>
    <w:p>
      <w:r>
        <w:rPr>
          <w:b/>
        </w:rPr>
        <w:t>E. 20</w:t>
      </w:r>
    </w:p>
    <w:p>
      <w:r>
        <w:t>La Chambre de céans a dès lors, par ordonnance du 11 octobre 2012, confié au Dr O__________, spécialiste FMH en chirurgie de la main, la mission d’expertiser la recourante.</w:t>
      </w:r>
    </w:p>
    <w:p>
      <w:r>
        <w:rPr>
          <w:b/>
        </w:rPr>
        <w:t>E. 21</w:t>
      </w:r>
    </w:p>
    <w:p>
      <w:r>
        <w:t>Celui-ci a établi son rapport d’expertise le 11 avril 2013. Il a retenu à titre de diagnostics avec répercussion sur la capacité de travail, un état après lésion complexe par écrasement de la main droite (main de presse) traitée en urgence le 4 mai 2006, et un état après rétraction de la première commissure de la main droite opérée le 29 mai 2007, et à titre de diagnostics sans répercussion sur la capacité de travail, un asthme allergique depuis l’adolescence et des cervico-lombalgies épisodiques depuis l’adolescence également. Il a considéré que l’état de santé de l’assurée était actuellement stabilisé et qu’on ne pouvait attendre d’amélioration notable. Il a indiqué que l’assurée présentait une diminution partielle de la dextérité et de la force de la main droite, et a estimé, en accord avec le bilan préprofessionnel effectué aux HUG, la capacité de travail dans la profession de relieuse à 65% (2/3 d’un plein temps), étant précisé que les bilans de l’atelier préprofessionnel du 25 et du 28 mars 2013 attestent à ce jour d’une diminution maximale de rendement de 25% dans son activité de relieuse. S’agissant de déterminer une activité lucrative adaptée, raisonnablement exigible de l’assurée, il a déclaré que les activités n’exigeant ni dextérité, ni rendement, telles que celles d’employée de bureau, de téléphoniste, d’hôtesse d’accueil et d’opératrice de saisies pouvaient être exercées sans restriction. Les chances de réadaptation lui paraissent a priori favorables, dans la mesure où lors des évaluations préprofessionnelles réalisées en mars 2013, les examinateurs ont tous deux attesté d’une motivation certaine de l’assurée dans le cadre des activités demandées. Selon lui, le pronostic est favorable, tant dans sa</w:t>
      </w:r>
    </w:p>
    <w:p>
      <w:r>
        <w:t>A/4499/2011 - 7/14 - profession de relieuse que dans un emploi adapté, pour autant que l’activité tienne compte de sa condition. L’évaluation du taux d’atteinte à l’intégrité peut être maintenue à 8%, l’état de la main droite étant stabilisé dans le cas présent, on peut davantage s’attendre à une adaptation plutôt qu’à une aggravation. L’expert a encore ajouté qu’« en comparaison de la gravité de l’accident, il faut reconnaître, comme le concède d’ailleurs elle-même l’assurée, que, malgré les troubles résiduels reconnus, les séquelles de sa main droite restent limitées par rapport à l’importance de la récupération fonctionnelle. (…) Le bilan fonctionnel réalisé récemment en atelier démontre qu’elle conserve une capacité de travail dans son métier de relieuse, toutefois limitée par les séquelles du traumatisme de sa main droite qui se manifestent sous forme d’une fatigabilité la limitant à la fois dans l’endurance et dans le rendement. L’idéal serait que l’assurée puisse trouver un poste à mi-temps, ce qui lui permettrait en contrepartie de conserver un plein rendement. Enfin, bien qu’elle estime avoir une pleine capacité dans le domaine du graphisme, compte tenu de ses exigences manuelles, une reconversion dans cette branche est à déconseiller. En revanche, toute tâche manuelle excluant à la fois dextérité et rendement peut être envisagée sans restriction, En conséquence, on ne peut que cautionner l’avis des différents médecins (Drs L___________, N__________, P__________) préalablement sollicités, lui ayant également reconnu une limitation de rendement dans la profession de relieuse, mais une pleine capacité dans une activité peu exigeante du point de vue manuel. »</w:t>
      </w:r>
    </w:p>
    <w:p>
      <w:r>
        <w:rPr>
          <w:b/>
        </w:rPr>
        <w:t>E. 22</w:t>
      </w:r>
    </w:p>
    <w:p>
      <w:r>
        <w:t>Invitée à se déterminer, l’assurée a, le 13 mai 2013, déclaré s’en rapporter à justice s’agissant de l’appréciation du rapport d’expertise du Dr O__________. Elle relève toutefois que selon l’expert, l’activité adaptée ne doit exiger « ni dextérité, ni rendement », que le Dr L___________ allait dans le même sens, puisqu’il retenait dans son rapport du 1er juillet 2008, une baisse de rendement de l’ordre de 10 à 20% pour une activité manuelle « entrant dans le cadre de l’exigibilité formulée », que dès lors, il se justifie pleinement de procéder à un abattement de 15% sur le revenu d’invalide, compte tenu des limitations fonctionnelles constatées et des restrictions retenues par l’expert. S’agissant de la détermination du revenu sans invalidité, elle maintient ses conclusions, visant à ce qu’un revenu de 6'701 fr. 80 par mois soit pris en considération. Sur ces bases, elle considère que son taux d’invalidité est de 46,7% (4'200 fr. - 15% = 3'570 fr. comparés à 6'701 fr. 80).</w:t>
      </w:r>
    </w:p>
    <w:p>
      <w:r>
        <w:rPr>
          <w:b/>
        </w:rPr>
        <w:t>E. 23</w:t>
      </w:r>
    </w:p>
    <w:p>
      <w:r>
        <w:t>Le même jour, la SUVA a persisté dans ses conclusions.</w:t>
      </w:r>
    </w:p>
    <w:p>
      <w:r>
        <w:rPr>
          <w:b/>
        </w:rPr>
        <w:t>E. 24</w:t>
      </w:r>
    </w:p>
    <w:p>
      <w:r>
        <w:t>Les écritures des parties leur ont été transmises et la cause gardée à juger.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w:t>
      </w:r>
    </w:p>
    <w:p>
      <w:r>
        <w:t>A/4499/2011 - 8/14 - des assurances sociales, du 6 octobre 2000 (LPGA; RS 830.1) relatives à la loi fédérale sur l'assurance-accidents, du 20 mars 1981 (LAA; RS 832.20). Sa compétence pour juger du cas d’espèce est ainsi établie. 2. La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donc être examiné à l'aune des dispositions de la nouvelle législation. Il convient en outre de relever que les dispositions de la LPGA n'ont pas modifié les notions d'accident et d'invalidité (notamment) selon l'ancienne LAA et la jurisprudence du Tribunal fédéral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3. Interjeté dans le délai légal, le recours est recevable (art. 56 et 60 LPGA). 4. L'objet du litige consiste à déterminer le taux d'invalidité de la recourante et l'étendue de son atteinte à l'intégrité. 5. Aux termes de l'art. 6 al. 1 LAA, si la loi n'en dispose pas autrement, les prestations d'assurance sont allouées en cas d'accident professionnel, d'accident non professionnel et de maladie professionnelle. 6.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w:t>
      </w:r>
    </w:p>
    <w:p>
      <w:r>
        <w:t>A/4499/2011 - 9/14 - l'intention de progresser sur le plan professionnel doit s'être manifestée par des étapes concrètes, tels que la fréquentation d'un cours, le début d'études ou la passation d'examens (RAMA 2006 no U 568 p. 67 consid. 2 ; ATF non publié 8C_938/2009 du 23 septembre 2010, consid. 6.2).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p. 301; 129 V 472 consid. 4.2.1 p. 475) 8. Aux termes de l'art. 20 LAA, la rente d'invalidité s'élève à 80 % du gain assuré, en cas d'invalidité totale; si l'invalidité n'est que partielle, la rente est diminuée en conséquence (al. 1). Si l'assuré a droit à une rente de l'assurance-invalidité ou à une rente de l'assurance-vieillesse et survivants, une rente complémentaire lui est allouée; celle-ci correspond, en dérogation à l'art. 69 LPGA,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(al. 2). 9. Le gain assuré sert de base au calcul du montant proprement dit de la rente (art. 20 al. 1 LAA). La fixation de l'un et de l'autre sont soumis à des règles différentes. Le revenu sans invalidité s'évalue, en règle générale, d'après le dernier salaire que l'assuré a obtenu avant l'atteinte à la santé, en tenant compte de l'évolution des circonstances à l'époque où est né le droit à la rente (cf. ATF 129 V 222 consid. 4). 10. Il n'y a pas lieu, dans le revenu sans invalidité comme dans le revenu d'invalide, de prendre en considération les allocations familiales lesquelles ne sont pas comprises dans la notion de revenu provenant d'une activité lucrative au sens de l'AVS (cf. art. 6 al. 2 let. f du règlement sur l'assurance-vieillesse et survivants - RAVS). Il en va différemment de la fixation du gain assuré qui doit inclure le montant des allocations familiales en application de l'art. 22 al. 2 let. b OLAA (ATFA non publié du 7 juillet 2005, U 259/04 et U 272/04).</w:t>
      </w:r>
    </w:p>
    <w:p>
      <w:r>
        <w:t>A/4499/2011 - 10/14 - 11. Selon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Il sera équitablement tenu compte des aggravations prévisibles de l'atteinte à l'intégrité. Une révision (du droit à l'indemnité) n'est possible qu'en cas exceptionnel, si l'aggravation est importante et n'était pas prévisible (al. 4). De jurisprudence constante, la règle contenue à la première phrase de l’art. 36 al. 4 OLAA ne vise toutefois que les aggravations dont la survenance est vraisemblable et l'importance quantifiable (RAMA 1998 n° U 320 p. 602 consid. 3b).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 a/cc et 116 V 157 consid. 3a). 12.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w:t>
      </w:r>
    </w:p>
    <w:p>
      <w:r>
        <w:t>A/4499/2011 - 11/14 - 13.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14.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ATFA non publié I 592/99du 13 mars 2000). 15. En l’espèce, la Chambre de céans a constaté que le médecin d'arrondissement et le médecin traitant formulaient des conclusions divergentes, en termes de capacité résiduelle de travail et d'atteinte à l'intégrité. Bien qu'elle ait relevé que l'expert mandaté par la SUVA avait effectivement confirmé l'appréciation du médecin d’arrondissement, elle n’a pas été en mesure de trancher le présent litige, dans la mesure où elle a considéré que le rapport de l'expert n’avait pas valeur probante en raison plus particulièrement du caractère subjectif dont est imprégnée son analyse. Elle a dès lors ordonné, le 11 octobre 2012, une nouvelle expertise orthopédique qu’elle a confiée au Dr O__________. 16. Le rapport du Dr O__________, établi le 11 avril 2013, remplit toutes les conditions auxquelles la jurisprudence soumet la valeur probante de tels documents (ATF 125 V 352 consid. 3, 122 V 160 consid. 1c et les références). En particulier,</w:t>
      </w:r>
    </w:p>
    <w:p>
      <w:r>
        <w:t>A/4499/2011 - 12/14 - l'assurée n'a soulevé, à juste titre, aucune objection de nature formelle ou matérielle qui remettrait en cause les constatations opérées par le Dr O__________. Elle s'en rapporte du reste à justice. Il y a dès lors lieu d'accorder entière valeur probante à son rapport. 17. Selon l’expert, la capacité de travail de l’assurée dans son activité de relieuse est de 65% avec une diminution de rendement de 25%. Dans une activité adaptée en revanche, elle est entière sans diminution de rendement. L’évaluation du taux d’atteinte à l’intégrité peut être maintenue à 8%, étant précisé qu’on peut davantage s’attendre à une adaptation qu’à une aggravation. 18. Il convient de retenir ces conclusions. Il n'existe en effet aucun motif sérieux de remettre en cause les conclusions de l'expert. Il y a lieu dès lors de retenir que l'assurée dispose d'une capacité de travail de 100 % dans le cadre d'une activité adaptée ne demandant pas d'efforts de la main droite et subit une atteinte à l'intégrité de 8%. 19. Restent litigieux les montants qui doivent être comparés pour déterminer le degré d’invalidité. 20. La SUVA a pris en considération un revenu de 4'200 fr., treizième salaire y compris, à titre de revenu avec invalidité. L’assurée considère, compte tenu des limitations fonctionnelles constatées et des restrictions retenues par l’expert, qu’il se justifie de procéder à un abattement de 15%. La SUVA, se référant expressément à la jurisprudence du TF (ATF 129 V 472) estime toutefois que l’on n’opère pas d’abattement sur un revenu déterminé en fonction de descriptions de postes de travail, dès lors que celles-ci prennent en tant que telles déjà en considération la situation particulière des assurés. Selon cette jurisprudence,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L’assurée relève à cet égard que cette jurisprudence, selon laquelle un revenu d’invalide déterminé sur la base des descriptions de postes de travail (DPT) ne justifie pas de réduction de salaire, suppose que les activités retenues soient adaptées à l’invalidité de l’assuré et comprennent d’ores et déjà l’éventuelle baisse de rendement de celui-ci. Or, tel n’est pas le cas, les activités retenues par la SUVA en l’espèce n’étant précisément pas adaptées à ses limitations. Il est vrai que lorsque le revenu d'invalide est déterminé sur la base des DPT, une réduction du salaire n'est ni justifiée ni admissible eu égard au système même des</w:t>
      </w:r>
    </w:p>
    <w:p>
      <w:r>
        <w:t>A/4499/2011 - 13/14 - DPT. Il faut toutefois préalablement examiner si tous les emplois résultant des DPT auxquelles s'est référée la SUVA sont réellement à la portée de l'assurée, et si les conditions posées par la jurisprudence pour l'application de celles-ci sont réalisées (cf. ATF 129 V 475 ss consid. 4.2.1 et 4.2.2). En l’occurrence, la SUVA a retenu cinq postes pour lesquels il est exigé du travailleur qu’il manie des objets (motricité fine), très souvent pour trois d’entre eux et souvent pour les deux autres. Force est de constater que ces postes de travail nécessitent une certaine dextérité de la part du travailleur. Or, selon le Dr O__________, seule une tâche manuelle excluant à la fois dextérité et rendement peut être envisagée sans restriction. On ne saurait dès lors soutenir que les postes de travail retenus par la SUVA respectent l'ensemble des limitations de l'assurée. En particulier, ils demandent de la dextérité. On doit admettre que la situation médicale de l’assurée justifie que l’on s’écarte du salaire moyen et que l’on procède à un abattement. Constatant cependant que les postes de travail visés ne nécessitent que « jamais ou rarement » de force dans la main, la Chambre de céans considère qu’un abattement de 10%, et non de 15% comme demandé par l’assurée, suffit pour tenir compte de sa situation particulière. Aussi le revenu d’invalide est-il fixé à 3'780 fr. (4'200 fr. - 10%). 21. La SUVA a fixé le revenu sans invalidité à 4'900 fr. L’assurée conteste ce montant, au motif qu’il ne prend pas en compte l’évolution des salaires. Elle allègue à cet égard qu’en 2008, l’Office fédéral de la statistique a fixé le salaire mensuel brut moyen dans la branche d’édition, d’impression et de reproduction à 6'444 fr., montant qui doit être porté à 6'701 fr. 80, compte tenu du fait que les salaires bruts standardisés tiennent compte d’un horaire de travail de 40 heures, soit une durée hebdomadaire inférieure à la moyenne usuelle dans les entreprises en 2008 (41.6 heures : La vie économique 4/2010, tableau b 9.1, p. 90). La SUVA a en l'occurrence retenu le montant de 4'900 fr. en fonction des informations fournies par l’employeur de l’assurée et selon l’année de référence du revenu d’invalide. Ainsi que le souligne la SUVA, une adaptation du gain de valide en fonction de l’évolution des salaires impliquerait forcément une modification du revenu d’invalide afin de respecter le parallélisme entre ces deux valeurs permettant de définir la quotité de la rente. Force est en conséquence de conclure que le revenu sans invalidité fixé par la SUVA doit être confirmé. 22. La comparaison des revenus aboutit à un degré d’invalidité de 4'900 fr. - 3'780 fr. x 100 = 22,85% arrondi à 23% 4'900 fr. Aussi le recours est-il partiellement admis.</w:t>
      </w:r>
    </w:p>
    <w:p>
      <w:r>
        <w:t>A/4499/2011 - 14/14 -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