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ATAS/1260/2020 vom 21. Dezember 2020</w:t>
      </w:r>
    </w:p>
    <w:p>
      <w:r>
        <w:t>GE Cour de justice, 2020-12-21, FR</w:t>
      </w:r>
    </w:p>
    <w:p>
      <w:r>
        <w:rPr>
          <w:b/>
        </w:rPr>
        <w:t xml:space="preserve">Quelle: </w:t>
      </w:r>
      <w:r>
        <w:t>https://mcp.opencaselaw.ch/entscheid/ge_gerichte_ATAS_1260_2020</w:t>
      </w:r>
    </w:p>
    <w:p>
      <w:r>
        <w:t>FR: GE_GERICHTE ATAS/1260/2020 du 21 décembre 2020</w:t>
      </w:r>
    </w:p>
    <w:p>
      <w:r>
        <w:t>IT: GE_GERICHTE ATAS/1260/2020 del 21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 prescrits, le recours est recevable (art. 56 et 60 LPGA).</w:t>
      </w:r>
    </w:p>
    <w:p>
      <w:r>
        <w:rPr>
          <w:b/>
        </w:rPr>
        <w:t>E. 3</w:t>
      </w:r>
    </w:p>
    <w:p>
      <w:r>
        <w:t>Le litige porte sur la suspension du droit du recourant à l'indemnité de chômage pour une durée de 23 jours, réduite à 15 jours par proposition de l’intimée.</w:t>
      </w:r>
    </w:p>
    <w:p>
      <w:r>
        <w:rPr>
          <w:b/>
        </w:rPr>
        <w:t>E. 4</w:t>
      </w:r>
    </w:p>
    <w:p>
      <w:r>
        <w:t>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l'employé qui a résilié lui- 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mais également de celui qui, par son comportement, en particulier par la violation de ses obligations contractuelles de travail, a donné à son employeur un motif de résiliation de contrat (art. 44 al. 1 let. a OACI).</w:t>
      </w:r>
    </w:p>
    <w:p>
      <w:r>
        <w:t>A/1299/2020 - 7/10 -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du 6 avril 2008, 8C.316/07, consid. 2.1.2).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(arrêt du Tribunal fédéral C_207/2005 du 31 octobre 2005). On attend de l’assuré qu’il ne cause pas lui-même le dommage, mais qu’il le prévienne. Dès lors, le critère de la culpabilité retenue par la jurisprudence est celle du « comportement raisonnablement exigible » de l’assuré.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pour chômage fautif en vertu de l'art. 44 al. 1 let. a OACI ne présuppose pas une résiliation du contrat de travail avec effet immédiat pour juste motif au sens de l'art. 337 du Code des obligations, loi fédérale, du 30 mars 1911, complétant le code civil suisse (CO ; RS 220).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Le comportement fautif de l'assuré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A/1299/2020 - 8/10 -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6</w:t>
      </w:r>
    </w:p>
    <w:p>
      <w:r>
        <w:t>En l’espèce, la gravité de l’incident du courriel envoyé par le recourant sur son adresse e-mail personnelle a quelque peu été exagérée par l’ex-employeur du recourant dans les motivations qu’il a transmises à l’intimée. La comparution personnelle et l’audition du témoin ont permis d’établir que la raison du licenciement ne provenait pas de cet élément en particulier, mais d’un ensemble de choses. La chambre de céans considère comme établi que l’employeur n’a pas su gérer le conflit larvé entre le recourant et M. C______, mais que le recourant n’a pas montré une grande flexibilité et s’est montré impatient dans ses revendications. Par son comportement, le recourant a ainsi contribué au blocage de la situation ; il a fait part de sa démotivation et n’a pas su attendre l’occasion de se voir attribuer des tâches plus intéressantes, alors même qu’il n’avait été engagé que depuis six mois. Dès lors, son comportement est fautif.</w:t>
      </w:r>
    </w:p>
    <w:p>
      <w:r>
        <w:rPr>
          <w:b/>
        </w:rPr>
        <w:t>E. 7</w:t>
      </w:r>
    </w:p>
    <w:p>
      <w:r>
        <w:t>Le principe de la faute étant établi, il sied d’examiner si la quotité de la sanction prononcée par l’intimée respecte le principe de proportionnalité. En vertu de l'art. 53 al. 3 LPGA, l'assureur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d'une simple proposition au juge (cf. ATF 130 V 138 consid. 4.2 ; ATF 109 V 234 consid. 2 ; arrêt du Tribunal fédéral 8C_1/2011 du 5 septembre 2011 consid. 1.1). C’est ce dernier sens qu’il faut attribuer au courrier de l’intimée du 11 décembre 2020, qui propose à la chambre de céans d’admettre partiellement le recours et de réduire la sanction de 23 jours à 15 jours. L’échelle des sanctions publiée dans le Bulletin LACI prévoit, sous côte D75 / 1.B que le licenciement du travailleur dans le respect des délais de congé en raison de son comportement, en particulier de la violation de ses obligations contractuelles de travail, est une faute qui peut être considérée comme légère, moyenne ou grave. Les avertissements de l’employeur peuvent entraîner un durcissement de la sanction ; leur nombre, leur intervalle, leur motif et le fait que le dernier avertissement précède ou non de peu la résiliation, sont des facteurs à prendre en compte. En cas de faute légère, la durée de la suspension est de un à quinze jours, de seize à trente jours en cas de faute de gravité moyenne et de trente-et-un à soixante jours en</w:t>
      </w:r>
    </w:p>
    <w:p>
      <w:r>
        <w:t>A/1299/2020 - 9/10 - cas de faute grave (art. 45 al. 2 let. a à c OACI). Dans ce domaine, le juge ne s'écarte de l'appréciation de l'administration que s'il existe de solides raisons (ATF 123 V 152 consid. 2). En l’absence d’avertissement et en tenant compte de l’ensemble des circonstances, la faute du recourant peut être qualifiée de légère à moyenne. Compte tenu du fait qu’il a participé au blocage de la situation et n’a pas su attendre qu’un travail plus intéressant lui soit confié, la sanction de 15 jours proposée par l’intimée dans son courrier du 11 décembre 2020 est proportionnée.</w:t>
      </w:r>
    </w:p>
    <w:p>
      <w:r>
        <w:rPr>
          <w:b/>
        </w:rPr>
        <w:t>E. 8</w:t>
      </w:r>
    </w:p>
    <w:p>
      <w:r>
        <w:t>Aussi le recours sera-t-il partiellement admis, en ce sens que la sanction de suspension du droit aux indemnités de l'assurance-chômage sera réduite à 15 jours.</w:t>
      </w:r>
    </w:p>
    <w:p>
      <w:r>
        <w:rPr>
          <w:b/>
        </w:rPr>
        <w:t>E. 9</w:t>
      </w:r>
    </w:p>
    <w:p>
      <w:r>
        <w:t>Pour le surplus, la procédure est gratuite.</w:t>
      </w:r>
    </w:p>
    <w:p>
      <w:r>
        <w:t>***</w:t>
      </w:r>
    </w:p>
    <w:p>
      <w:r>
        <w:t>A/1299/2020 - 10/10 -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