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ATAS/125/2026 vom 16. Februar 2026</w:t>
      </w:r>
    </w:p>
    <w:p>
      <w:r>
        <w:t>GE Cour de justice, 2026-02-16, FR</w:t>
      </w:r>
    </w:p>
    <w:p>
      <w:r>
        <w:rPr>
          <w:b/>
        </w:rPr>
        <w:t xml:space="preserve">Quelle: </w:t>
      </w:r>
      <w:r>
        <w:t>https://mcp.opencaselaw.ch/entscheid/ge_gerichte_ATAS_125_2026</w:t>
      </w:r>
    </w:p>
    <w:p>
      <w:r>
        <w:t>FR: GE_GERICHTE ATAS/125/2026 du 16 février 2026</w:t>
      </w:r>
    </w:p>
    <w:p>
      <w:r>
        <w:t>IT: GE_GERICHTE ATAS/125/2026 del 16 febbraio 2026</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w:t>
      </w:r>
    </w:p>
    <w:p>
      <w:r>
        <w:rPr>
          <w:b/>
        </w:rPr>
        <w:t>E. 2.2</w:t>
      </w:r>
    </w:p>
    <w:p>
      <w:r>
        <w:t>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w:t>
      </w:r>
    </w:p>
    <w:p>
      <w:r>
        <w:t>A/1600/2025 - 9/20 - entre les points non contestés et l’objet du litige (ATF 125 V 413 consid. 1b et les références).</w:t>
      </w:r>
    </w:p>
    <w:p>
      <w:r>
        <w:rPr>
          <w:b/>
        </w:rPr>
        <w:t>E. 2.3</w:t>
      </w:r>
    </w:p>
    <w:p>
      <w:r>
        <w:t>En l’espèce, le recours est dirigé contre la décision de l’intimé portant sur le droit à une rente et à des mesures d’ordre professionnel du recourant. Celui-ci, sans prendre de conclusions explicites, ne critique toutefois que le refus de mesures d’ordre professionnel, de sorte que c’est ce seul point qui fait l’objet du litige.</w:t>
      </w:r>
    </w:p>
    <w:p>
      <w:r>
        <w:rPr>
          <w:b/>
        </w:rPr>
        <w:t>E. 3</w:t>
      </w:r>
    </w:p>
    <w:p>
      <w:r>
        <w:t>La LAI a connu une novelle le 19 juin 2020, entrée en vigueur le 1er janvier 2022 (Message concernant la modification de la loi fédérale sur l'assurance- invalidité [Développement continu de l'assurance-invalidité], FF 2017 2363). Conformément aux principes de droit intertemporel, la législation applicable en cas de changement de règles de droit est en principe celle en vigueur au moment où les faits juridiquement déterminants se sont produits (ATF 144 V 210 consid. 4.3.1). Dès lors que la demande de prestations a été déposée après le 1er janvier 2022, le nouveau droit est applicable.</w:t>
      </w:r>
    </w:p>
    <w:p>
      <w:r>
        <w:rPr>
          <w:b/>
        </w:rPr>
        <w:t>E. 4</w:t>
      </w:r>
    </w:p>
    <w:p>
      <w:r>
        <w:t>L’art. 8 LAI dispose que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 que les conditions d’octroi des différentes mesures soient remplies (let. b) (al. 1). Le droit aux mesures de réadaptation n’est pas lié à l’exercice d’une activité lucrative préalable. La détermination des mesures tient notamment compte de l’âge de l’assuré (let. a) ; de son niveau de développement (let. b) ; de ses aptitudes (let. c) ; et de la durée probable de la vie active (let. d) (al. 1bis). Les mesures de réadaptation comprennent des mesures d’ordre professionnel (al. 3). Selon l’art. 15 al. 2 LAI, l’assuré auquel son invalidité rend difficile l’exercice de son activité antérieure a droit à l’orientation professionnelle. Aux termes de l’art. 17 al. 1 LAI, l’assuré a droit au reclassement dans une nouvelle profession si son invalidité rend cette mesure nécessaire et que sa capacité de gain peut ainsi, selon toute vraisemblance, être maintenue ou améliorée.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En vertu de l’art. 6 al. 1bis RAI en vigueur depuis le 1er janvier 2022, sont également considérées comme un reclassement les mesures de formation aboutissant à une formation plus qualifiante que celle dont dispose l’assuré, à condition qu’elles soient nécessaires pour maintenir ou améliorer sa capacité de gain.</w:t>
      </w:r>
    </w:p>
    <w:p>
      <w:r>
        <w:t>A/1600/2025 - 10/20 - L’art. 18 LAI prévoit que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Il faut que l'invalidité soit d'une certaine gravité pour que le droit à des mesures de réadaptation soit ouvert. La jurisprudence a ainsi fixé le seuil d'invalidité à partir duquel des mesures de réadaptation doivent être octroyées à 20% (ATF 130 V 488 consid. 4.2 ; ATF 124 V 108 consid. 3a ; arrêt du Tribunal fédéral 8C_491/2024 du 15 avril 2025 consid. 2.3).</w:t>
      </w:r>
    </w:p>
    <w:p>
      <w:r>
        <w:rPr>
          <w:b/>
        </w:rPr>
        <w:t>E. 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5.1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(ATF 139 V 28 consid. 3.3.2 ; arrêt du Tribunal fédéral 8C_934/2015 du</w:t>
      </w:r>
    </w:p>
    <w:p>
      <w:r>
        <w:rPr>
          <w:b/>
        </w:rPr>
        <w:t>E. 5.2</w:t>
      </w:r>
    </w:p>
    <w:p>
      <w:r>
        <w:t>Pour déterminer le revenu d'invalide de l'assuré, il faut en l'absence d'un revenu effectivement réalisé se référer aux données salariales, telles qu'elles résultent des ESS (ATF 126 V 75 consid. 3b).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w:t>
      </w:r>
    </w:p>
    <w:p>
      <w:r>
        <w:t>A/1600/2025 - 11/20 - demander s'il pourrait encore exploiter économiquement sa capacité résiduelle de travail sur un marché où les places de travail disponibles correspondent à l'offre de main d'œuvre (arrêt du Tribunal fédéral 9C_326/2018 du 5 octobre 2018 consid. 6.2 et les références).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En principe, il n'est pas admissible de déterminer le degré d'invalidité sur la base de la simple évaluation médico-théorique de la capacité de travail de la personne assurée, car cela reviendrait à déduire de manière abstraite l’invalidité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w:t>
      </w:r>
    </w:p>
    <w:p>
      <w:r>
        <w:rPr>
          <w:b/>
        </w:rPr>
        <w:t>E. 5.3</w:t>
      </w:r>
    </w:p>
    <w:p>
      <w:r>
        <w:t>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Savoir s'il convient de procéder à un abattement sur le salaire statistique en raison des circonstances du cas particulier constitue une question de droit, tandis que l'étendue de l'abattement justifié dans un cas concret constitue une question typique relevant du pouvoir d'appréciation (ATF 146 V 16 consid. 4.2).</w:t>
      </w:r>
    </w:p>
    <w:p>
      <w:r>
        <w:rPr>
          <w:b/>
        </w:rPr>
        <w:t>E. 5.3.1</w:t>
      </w:r>
    </w:p>
    <w:p>
      <w:r>
        <w:t>L’art. 26bis al. 3 RAI, dans sa version en vigueur du 1er janvier 2022 au 31 décembre 2023, avait la teneur suivante : si, du fait de l’invalidité, les capacités fonctionnelles de l’assuré au sens de l’art. 49 al. 1bis, ne lui permettent de travailler qu’à un taux d’occupation de 50% ou moins, une déduction de 10% pour le travail à temps partiel est opérée sur la valeur statistique. Le Tribunal fédéral a jugé que cette disposition n’interdisait pas de concéder un abattement allant au- delà de cette réduction forfaitaire réglementaire de 10% en fonction des critères dégagés par la jurisprudence (arrêt du Tribunal fédéral 8C_823/2023 du 8 juillet 2024 consid. 10.6).</w:t>
      </w:r>
    </w:p>
    <w:p>
      <w:r>
        <w:rPr>
          <w:b/>
        </w:rPr>
        <w:t>E. 5.3.2</w:t>
      </w:r>
    </w:p>
    <w:p>
      <w:r>
        <w:t>Aux termes de l’art. 26bis al. 3 RAI dans sa teneur dès le 1er janvier 2024, une déduction de 10% est opérée sur la valeur statistique fixée en fonction des ESS à titre de revenu d’invalide. Si, du fait de l’invalidité, l’assuré ne peut travailler qu’avec une capacité fonctionnelle au sens de l’art. 49 al. 1bis de 50% ou</w:t>
      </w:r>
    </w:p>
    <w:p>
      <w:r>
        <w:t>A/1600/2025 - 12/20 - moins, une déduction de 20% est opérée. Aucune déduction supplémentaire n’est possible. Selon le rapport explicatif du 18 octobre 2023 relatif à la modification du RAI « Mise en œuvre de la motion 22.3377 de la CSSS-N - Utiliser des barèmes de salaires correspondant à l’invalidité dans le calcul du taux d’invalidité », la déduction forfaitaire de 10% ou 20% prévue au nouvel art. 26bis al. 3 RAI tient compte de tous les facteurs qui ont pour conséquence que les personnes en situation de handicap gagnent moins que celles qui sont en bonne santé. Il n’y a donc pas lieu d’effectuer d’autres déductions. 6.</w:t>
      </w:r>
    </w:p>
    <w:p>
      <w:r>
        <w:t>6.1 Conformément au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(ATF 134 V 231 consid. 5.1 ; arrêt du Tribunal fédéral 8C_877/2018 du 24 juillet 2019 consid. 5). Sans remettre en cause le principe de la libre appréciation des preuves, le Tribunal fédéral des assurances a posé des lignes directrices en ce qui concerne la manière d'apprécier certains types d'expertises ou de rapports médicaux. 6.2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 6.3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w:t>
      </w:r>
    </w:p>
    <w:p>
      <w:r>
        <w:t>A/1600/2025 - 13/20 -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6.4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 7. Le Tribunal fédéral a revu et modifié en profondeur le schéma d'évaluation de la capacité de travail, respectivement de l'incapacité de travail, en cas de syndrome douloureux somatoforme et d'affections psychosomatiques comparables. Dans un arrêt de principe concernant les troubles somatoformes douloureux (ATF 141 V 281), il notamment abandonné la présomption selon laquelle les troubles somatoformes douloureux ou leurs effets pouvaient être surmontés par un effort de volonté raisonnablement exigible (consid. 3.4 et 3.5) et introduit un nouveau schéma d'évaluation au moyen d'un catalogue d'indicateurs (consid. 4). Le Tribunal fédéral a ensuite étendu ce nouveau schéma d'évaluation aux autres affections psychiques ou psychosomatiques et aux syndromes de dépendance (ATF 148 V 49 ; 145 V 215 ; 143 V 418 ; 143 V 409).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9C_265/2023 du 19 août 2024 consid. 3.2). Le Tribunal fédéral a ainsi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lieu de se fonder sur une grille d'analyse comportant divers indicateurs</w:t>
      </w:r>
    </w:p>
    <w:p>
      <w:r>
        <w:t>A/1600/2025 - 14/20 - qui rassemblent les éléments essentiels propres aux troubles de nature psychosomatique (ATF 141 V 281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w:t>
      </w:r>
    </w:p>
    <w:p>
      <w:r>
        <w:t>A/1600/2025 - 15/20 -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A/1600/2025 - 16/20 -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Dans un arrêt de 2017, le Tribunal fédéral a étendu la jurisprudence précitée à toutes les maladies psychiques (ATF 143 V 409 consid. 4.5). 8. En l’espèce, il convient en premier lieu de se déterminer sur l’expertise réalisée par le Dr H______. Ce rapport se révèle en tous points conforme aux exigences jurisprudentielles rappelées ci-dessus, puisqu’il a été établi après que l’expert a pris connaissance du dossier médical du recourant, qu’il contient une anamnèse, relate les plaintes du recourant recueillies au cours de deux entretiens prolongés, décrit les constatations objectives de l’expert, discute les fondements des diagnostics retenus et se prononce à satisfaction de droit sur les indicateurs développés par le Tribunal fédéral en matière de caractère incapacitant de troubles psychiques. Ses conclusions sont en outre bien motivées. Le Dr H______ s’est certes écarté de l’appréciation de la capacité de travail par les psychiatres du CAPPI Servette. On note toutefois que les Drs C______ et D______ semblent avoir exclu toute capacité de travail sur la base des symptômes décrits par le recourant, et non en fonction de leurs constatations objectives. S’agissant des médecins du CAPPI ayant par la suite rédigé des rapports à l’attention de l’intimé, ils n’ont pas analysé cette question à l’aune des critères jurisprudentiels pertinents, et leurs conclusions sur ce point ne sont pas émises de manière certaine. Partant, les rapports des médecins du CAPPI Servette ne suffisent pas à mettre en doute les conclusions du Dr H______. Le recourant ne conteste du reste pas le rapport de cet expert et a même invité la chambre de céans à s’y référer dans son écriture de recours. Les rapports produits</w:t>
      </w:r>
    </w:p>
    <w:p>
      <w:r>
        <w:t>A/1600/2025 - 17/20 - par la Dre I______ au cours de la présente procédure ne contiennent quant à eux aucune critique de l’expertise et ne mentionnent aucun élément que l’expertise n’aurait pas analysé. Cette psychiatre ne se prononce du reste pas sur la capacité de travail du recourant et ses considérations sur les conditions d’une reprise d’activité suggèrent qu’elle admet l’existence d’une telle capacité, à tout le moins partielle. Compte tenu de ce qui précède, il n’existe pas de motif de s’écarter de la capacité de travail de 80% dans toute activité à laquelle a conclu l’expert.</w:t>
      </w:r>
    </w:p>
    <w:p>
      <w:r>
        <w:rPr>
          <w:b/>
        </w:rPr>
        <w:t>E. 9</w:t>
      </w:r>
    </w:p>
    <w:p>
      <w:r>
        <w:t>En ce qui concerne le calcul du degré d’invalidité, l’intimé s’est fondé à titre de revenu sans invalidité sur le salaire concrètement perçu par le recourant au service de son dernier employeur dans l’imprimerie. Or, le recourant a été licencié pour des motifs économiques avant la survenance de ses troubles psychiques, si bien qu’il n’aurait pas poursuivi cet emploi, même sans atteinte à la santé. En outre, dans la mesure où il était censé, en vertu de son obligation de diminuer le dommage en lien avec l’assurance-chômage, élargir ses recherches d’emploi assez rapidement à d’autres activités que celle exercée dans l’imprimerie (cf. arrêt du Tribunal fédéral 8C_57/2023 du 17 avril 2023 consid. 5.3), il convient de fonder le revenu sans invalidité sur le salaire statistique tiré de l’ensemble des activités simples et répétitives (TA1_tirage_skill_level de l’ESS, Ligne Total, niveau 1). Le revenu après invalidité peut également être fondé sur ce revenu (soit CHF 5'305.- par mois et CHF 63'660.- par an pour 40 heures hebdomadaires), dès lors qu’il englobe un plus grand champ d’activités, plutôt que sur le revenu statistique légèrement plus élevé dans le secteur de l’imprimerie (TA1_tirage_skill_level de l’ESS, Lignes 16-18, niveau 1) de CHF 5'340.- par mois et CHF 64'080.- par an pour 40 heures hebdomadaires. Ainsi, en 2022, compte tenu de la capacité de travail de 80%, le degré d’invalidité était de 20%. En ne concédant pas d’abattement statistique sur ce salaire, l’intimé est resté dans les limites de son pouvoir d’appréciation, dès lors que le recourant conservait une importante capacité résiduelle de travail et qu’il ne subissait pas d’autres limitations fonctionnelles. Dès 2024, compte tenu des modifications réglementaires entrées en vigueur dans l’intervalle prévoyant une réduction de 10% sur les revenus après invalidité fondés sur des valeurs statistiques, son degré d’invalidité était de 30%. Ce taux n’ouvre pas le droit à une rente (cf. art. 28b al. 4 LAI) – dont le refus n’est au demeurant pas contesté, comme on l’a vu.</w:t>
      </w:r>
    </w:p>
    <w:p>
      <w:r>
        <w:rPr>
          <w:b/>
        </w:rPr>
        <w:t>E. 10</w:t>
      </w:r>
    </w:p>
    <w:p>
      <w:r>
        <w:t>En ce qui concerne les mesures de réadaptation, la chambre de céans retient ce qui suit. Le taux d’invalidité atteint certes le seuil dégagé par la jurisprudence pour ouvrir le droit à de telles mesures. Force est cependant de constater que les conditions légales à leur octroi ne sont pas réalisées, s’agissant en particulier de l’orientation professionnelle, puisque le recourant conserve une importante capacité de travail</w:t>
      </w:r>
    </w:p>
    <w:p>
      <w:r>
        <w:t>A/1600/2025 - 18/20 - dans son activité antérieure. En outre, le Tribunal fédéral a jugé que lorsque le marché du travail offre un éventail suffisamment large d'activités légères, dont un nombre significatif sont adaptées à l'état de santé de l'assuré et accessibles sans formation particulière, il n'existe guère d'obstacle à l'exercice d'un emploi adapté, de sorte que l'octroi d'une mesure d'orientation professionnelle apparaît superflu (arrêt du Tribunal fédéral 9C_534/2010 du 10 février 2011 consid. 4.3). Ainsi, dès lors que sur un marché équilibré du travail, le recourant peut reprendre sa précédente activité à 80% ou briguer un emploi sans formation préalable à ce même taux, une telle mesure n’apparaît pas indispensable. Compte tenu de la capacité de travail résiduelle du recourant, limitée à 80% tant dans son ancienne activité que dans une autre activité à dires d’expert, un reclassement n’est pas non plus indiqué puisqu’il ne permettrait pas d’augmenter cette capacité de travail. En outre, en règle générale, l'intéressé n'a droit qu'aux mesures nécessaires, propres à atteindre le but de réadaptation visé, mais non à celles qui seraient les meilleures dans son cas (ATF 139 V 399 consid. 5.4). En particulier, un 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(arrêt du Tribunal fédéral 9C_308/2021 du 7 mars 2021 consid. 7.3 et les références). Dans la mesure où le recourant ne disposait pas d’une formation certifiante, il ne saurait en toute hypothèse prétendre à un reclassement incluant une formation complète. S’agissant de l’aide au placement, selon la jurisprudence, les raisons de santé pour lesquelles l'assuré rencontre des difficultés dans la recherche d'un emploi approprié entrent dans la notion d'invalidité propre à cette prestation si l'atteinte à la santé occasionne des difficultés dans la recherche d'un emploi au sens large, par exemple si, en raison de sa surdité ou de son manque de mobilité, l'assuré ne peut avoir un entretien d'embauche ou est dans l'incapacité d'expliquer à un employeur potentiel ses possibilités réelles et ses limites (arrêt du Tribunal fédéral 9C_859/2010 du 9 août 2011 consid. 2.2 ; cf. également arrêt du Tribunal fédéral 8C_258/2015 du 24 juin 2015 consid. 4). Tel n’est pas le cas en l’espèce, les limitations découlant des troubles psychiques du recourant n’entraînant pas de telles difficultés. Le fait que le Dr H______ ait fait dépendre le pronostic de l’octroi d’une mesure de réinsertion ne signifie pas que celle-ci soit médicalement nécessaire, en l’absence de tout argument médical contraire, et ne permet en toute hypothèse pas d’éluder les conditions juridiques auxquelles son octroi est subordonné. La même analyse s’impose au sujet du rapport du 3 août 2025 de la Dre I______, dans lequel celle-ci n’a pas avancé d’éléments démontrant qu’une mesure de réinsertion serait indispensable pour des raisons médicales.</w:t>
      </w:r>
    </w:p>
    <w:p>
      <w:r>
        <w:t>A/1600/2025 - 19/20 - Les arguments du recourant et de son épouse ne conduisent pas non plus à une autre appréciation. Si l’on peut concevoir que l’inactivité du recourant et la précarité financière qui en découle sont sources d’anxiété, on peine néanmoins à comprendre pour quels motifs certaines activités ne seraient pas envisageables. Les tremblements et le manque de concentration que le recourant avance pour exclure une activité dans la restauration ou un bureau de tabac ne sont pas médicalement étayés. Les responsabilités encourues en qualité de cariste ne paraissent pas non plus incompatibles avec les limitations admises par l’expert. La gravité des troubles psychiques allégués par le recourant n’est en outre pas objectivement corroborée par les rapports des médecins, lesquels ne permettent pas non plus de retenir qu’il ne serait pas en mesure pour des raisons de santé de démarcher des employeurs sans le soutien de l’assurance-invalidité. Quant aux troubles physiques, la pangastrite à helicobacter pylori est connue, et le Dr B______ ne semblait pas en inférer une incapacité de travail en 2022. Les autres diagnostics physiques et les craintes de complications évoquées par l’épouse du recourant ne sont en outre pas établis par des pièces et sont postérieurs à la décision attaquée, si bien qu’il n’y a pas lieu d’en tenir compte dans la présente procédure. En effet, le juge des assurances sociales apprécie la légalité des décisions d’après l’état de fait au moment où la décision attaquée a été rendue (arrêt du Tribunal fédéral 9C_709/2020 du 24 septembre 2021 consid. 4.1.2). Compte tenu de ces éléments, la décision de l’intimé doit être confirmée.</w:t>
      </w:r>
    </w:p>
    <w:p>
      <w:r>
        <w:rPr>
          <w:b/>
        </w:rPr>
        <w:t>E. 11</w:t>
      </w:r>
    </w:p>
    <w:p>
      <w:r>
        <w:t>Le recours est rejeté. La procédure de recours en matière de contestations portant sur des prestations de l’assurance-invalidité devant le tribunal cantonal des assurances étant soumise à des frais judiciaires (art. 69 al. 1bis LAI), un émolument de CHF 200.- est mis à la charge du recourant.</w:t>
      </w:r>
    </w:p>
    <w:p>
      <w:r>
        <w:t>A/1600/2025 - 20/20 -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