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ATAS/125/2017 vom 20. Februar 2017</w:t>
      </w:r>
    </w:p>
    <w:p>
      <w:r>
        <w:t>GE Cour de justice, 2017-02-20, FR</w:t>
      </w:r>
    </w:p>
    <w:p>
      <w:r>
        <w:rPr>
          <w:b/>
        </w:rPr>
        <w:t xml:space="preserve">Quelle: </w:t>
      </w:r>
      <w:r>
        <w:t>https://mcp.opencaselaw.ch/entscheid/ge_gerichte_ATAS_125_2017</w:t>
      </w:r>
    </w:p>
    <w:p>
      <w:r>
        <w:t>FR: GE_GERICHTE ATAS/125/2017 du 20 février 2017</w:t>
      </w:r>
    </w:p>
    <w:p>
      <w:r>
        <w:t>IT: GE_GERICHTE ATAS/125/2017 del 20 febbraio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de la recourante à une demi-rente d’invalidité, singulièrement sur la question de son statut.</w:t>
      </w:r>
    </w:p>
    <w:p>
      <w:r>
        <w:rPr>
          <w:b/>
        </w:rPr>
        <w:t>E. 4.2</w:t>
      </w:r>
    </w:p>
    <w:p>
      <w:r>
        <w:t>et 123 V 233 consid. 3c ainsi que les références), une personne qui s'occupe du ménage doit faire ce que l'on peut raisonnablement attendre d'elle afin d'améliorer sa capacité de travail et réduire les effets de l'atteinte à la santé; elle doit en</w:t>
      </w:r>
    </w:p>
    <w:p>
      <w:r>
        <w:t>A/2401/2016 - 9/15 -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 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w:t>
      </w:r>
    </w:p>
    <w:p>
      <w:r>
        <w:rPr>
          <w:b/>
        </w:rPr>
        <w:t>E. 5</w:t>
      </w:r>
    </w:p>
    <w:p>
      <w:r>
        <w:t>Est réputée invalidité, l'incapacité de gain totale ou partielle présumée permanente ou de longue durée, résultant d'une infirmité congénitale, d'une maladie ou d'un</w:t>
      </w:r>
    </w:p>
    <w:p>
      <w:r>
        <w:t>A/2401/2016 - 5/15 -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5.1</w:t>
      </w:r>
    </w:p>
    <w:p>
      <w:r>
        <w:t>et 5.2).</w:t>
      </w:r>
    </w:p>
    <w:p>
      <w:r>
        <w:rPr>
          <w:b/>
        </w:rPr>
        <w:t>E. 6</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8</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w:t>
      </w:r>
    </w:p>
    <w:p>
      <w:r>
        <w:t>A/2401/2016 - 6/15 -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Cette évaluation tiendra également compte de la volonté hypothétique de l'intéressé,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w:t>
      </w:r>
    </w:p>
    <w:p>
      <w:r>
        <w:rPr>
          <w:b/>
        </w:rPr>
        <w:t>E. 9</w:t>
      </w:r>
    </w:p>
    <w:p>
      <w:r>
        <w:t>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w:t>
      </w:r>
    </w:p>
    <w:p>
      <w:r>
        <w:t>A/2401/2016 - 7/15 - travaux habituels non rémunérés sont en principe complémentaires dans le cadre de la méthode mixte. En d’autres termes, ces deux domaines d'activités forment ensemble, en règle générale, un taux de 100 %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28a al. 2 LAI n'a aucun effet sur la méthode d'évaluation de l'invalidité (ATF 131 V 51 consid.</w:t>
      </w:r>
    </w:p>
    <w:p>
      <w:r>
        <w:rPr>
          <w:b/>
        </w:rPr>
        <w:t>E. 10</w:t>
      </w:r>
    </w:p>
    <w:p>
      <w:r>
        <w:t>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w:t>
      </w:r>
    </w:p>
    <w:p>
      <w:r>
        <w:t>A/2401/2016 - 8/15 -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arrêt du Tribunal fédéral 9C_785/2014).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b) Pour satisfaire à l'obligation de réduire le dommage (voir ATF 129 V 463 consid.</w:t>
      </w:r>
    </w:p>
    <w:p>
      <w:r>
        <w:rPr>
          <w:b/>
        </w:rPr>
        <w:t>E. 11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A/2401/2016 - 10/15 - l'expert soient bien motivées (ATF 134 V 231 consid. 5.1; ATF 133 V 450 consid. 11.1.3; ATF 125 V 351 consid. 3).</w:t>
      </w:r>
    </w:p>
    <w:p>
      <w:r>
        <w:rPr>
          <w:b/>
        </w:rPr>
        <w:t>E. 12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w:t>
      </w:r>
    </w:p>
    <w:p>
      <w:r>
        <w:rPr>
          <w:b/>
        </w:rPr>
        <w:t>E. 13</w:t>
      </w:r>
    </w:p>
    <w:p>
      <w:r>
        <w:t>Lorsqu'il y a lieu d'appliquer la méthode mixte d'évaluation, l'invalidité des assurés pour la part qu'ils consacrent à leur activité lucrative doit être évaluée selon la méthode ordinaire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(ATF 137 V 334 consid. 4.1).</w:t>
      </w:r>
    </w:p>
    <w:p>
      <w:r>
        <w:rPr>
          <w:b/>
        </w:rPr>
        <w:t>E. 14</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15</w:t>
      </w:r>
    </w:p>
    <w:p>
      <w:r>
        <w:t>En l’espèce, les parties ont admis une incapacité de travail de la recourante de 50 %, sur la base de l’avis médical du Dr D______ du 8 septembre 2015, reconnu</w:t>
      </w:r>
    </w:p>
    <w:p>
      <w:r>
        <w:t>A/2401/2016 - 11/15 - comme probant (avis du SMR du 24 mars 2016 et écriture de la recourante du 13 juillet 2016). La capacité de travail de la recourante n’est donc pas litigieuse.</w:t>
      </w:r>
    </w:p>
    <w:p>
      <w:r>
        <w:rPr>
          <w:b/>
        </w:rPr>
        <w:t>E. 16</w:t>
      </w:r>
    </w:p>
    <w:p>
      <w:r>
        <w:t>En revanche, l’intimé considère que la recourante a un statut mixte, active à 40 % et ménagère à 60 %, alors que la recourante prétend à un statut de personne active à 100 %. A cet égard, la recourante a expliqué qu’après avoir obtenu une maturité gymnasiale, elle n’avait pas pu continuer ses études car elle était enceinte ; elle avait donc recherché un emploi à temps partiel, permettant une grande flexibilité, ce qui était le cas de son activité de nettoyeuse à 40 % ; elle avait accouché le 11 décembre 2000, puis à nouveau les 6 mars 2002 et 29 juillet 2007 ; ensuite, en raison de l’apparition de douleurs, elle avait recherché une activité moins exigeante physiquement et débuté des études d’architecte d’intérieur, métier qu’elle entendait exercer à 100 %. Ces faits ont été repris dans l’enquête ménagère, laquelle a mentionné ce qui suit : « Elle a obtenu une maturité gymnasiale, puis est rapidement tombée enceinte, donc n’a pas pu continuer ses études. Elle a travaillé comme femme de ménage de 2000 à 2014. Taux de 40 % environ pour pouvoir être disponible pour ses enfants tant qu’ils étaient petits. 3 enfants nés en 2000, 2002, 2007. En cours de formation d’architecte d’intérieur depuis 2013, mais elle prend du retard, car crises algiques dans tout le corps très fréquentes, tenir un crayon est douloureux, donc elle commence à douter de pouvoir réaliser cette formation qui lui tient tout particulièrement à cœur. L’assurée a besoin de travailler pour des raisons financières, car son époux ne gagne pas assez pour entretenir 5 personnes, mais elle désire travailler également pour utiliser ses compétences et avoir un poste valorisant, d’où la reprise d’études par correspondance. L’assurée précise qu’elle a passé sa maturité dans le but de pouvoir avoir une carrière professionnelle intéressante, mais que ses maternités ont différé ce projet. Son époux gagne environ 4'200 CHFS, le loyer est de 1'900 CHFS par mois, donc la famille, même avec les subsides de l’Etat, ne tourne pas financièrement. Sans atteinte à la santé, l’assurée aurait pu achever ses études d’architecte d’intérieur et rechercher un emploi, à temps partiel au début, mais en acceptant ce qui se présenterait car les postes ne sont pas évidents à décrocher ». L’intimé a retenu un statut mixte en relevant que selon les éléments du dossier, la recourante aurait continué à exercer son activité de nettoyeuse à 40 % si elle était restée en bonne santé (décision du 13 juin 2016). La chambre de céans constate que la recourante, enceinte en 2000, n’a pas pu continuer les études qu’elle projetait de suivre car elle s’est consacrée à l’éducation de son enfant, puis des deux suivants, nés en 2002 et 2007 ; en particulier, le dernier né n’était âgé que de 4 ans en 2011, année au cours de laquelle, selon les médecins-traitants, la recourante présentait déjà des symptômes invalidants du lupus (avis des Drs C______ du 10 août 2015 et D______ du 28 août 2015),</w:t>
      </w:r>
    </w:p>
    <w:p>
      <w:r>
        <w:t>A/2401/2016 - 12/15 - l’empêchant d’augmenter sa capacité de travail et l’obligeant à diminuer son taux de travail dans l’activité de nettoyeuse puis l’incitant à reprendre des études d’architecte d’intérieur en février 2013, métier qu’elle a jugé plus adapté à ses limitations fonctionnelles et qu’elle entendait exercer à plein temps. Cette version des faits a été reprise par le rapport d’enquête de l’intimé du 26 avril 2016 ; la diminution de l’activité exercée par la recourante en raison de son état de santé est par ailleurs confirmée par l’appréciation du Dr D______ du 28 août 2015 selon laquelle la recourante avait dû arrêter progressivement son travail de nettoyeuse en raison des douleurs, ainsi que par l’extrait du compte individuel de la recourante, lequel indique une nette baisse de salaire dès l’année 2011, année de survenance des symptômes du lupus, et, enfin, par le questionnaire pour l’employeur du 15 septembre 2015, lequel atteste d’un horaire de travail de la recourante limité à 5h par semaine. La recourante a aussi précisé qu’elle devait, du point de vue financier, exercer une activité lucrative à 100 % . Compte tenu de tous ces éléments il y a lieu d’admettre, au degré de la vraisemblance prépondérante, que la recourante avait l’intention d’exercer une activité lucrative à plein temps au moment où ses enfants seraient plus grands. Dans sa réponse au recours, l’intimé a ajouté que plusieurs éléments en faveur d’un statut mixte l’emportaient sur la déclaration d’intention de la recourante. L’argument de l’intimé ne résiste toutefois pas à l’examen. En effet, le fait que la recourante a mentionné dans sa demande de prestations travailler comme nettoyeuse à un taux de 25 à 50 % et être femme au foyer et étudiante, correspond à la description de ses activités déployées depuis l’an 2000 et non pas à son intention ; le fait que la recourante a effectivement travaillé à un taux de 40 % comme nettoyeuse correspond à la période où elle s’est occupée de ses trois enfants, ce qui explique l’absence de recherche d’emploi à un taux supérieur, étant relevé que le dernier enfant était âgé de 5 ans seulement en 2012 ; par ailleurs, des raisons financière peuvent être pertinentes sans que la recourante n’émarge à l’aide sociale ; enfin, son inscription à la formation d’architecte d’intérieur en février 2013 démontre principalement la volonté de la recourante de maintenir un emploi qui l’intéressait et adapté à son état de santé. Au vu de ce qui précède, il convient de retenir un statut d’active à 100 % en faveur de la recourante.</w:t>
      </w:r>
    </w:p>
    <w:p>
      <w:r>
        <w:rPr>
          <w:b/>
        </w:rPr>
        <w:t>E. 17</w:t>
      </w:r>
    </w:p>
    <w:p>
      <w:r>
        <w:t>S’agissant du calcul du degré d’invalidité, il convient de constater que l’incapacité de travail de 50 % conduit à la reconnaissance d’un droit de la recourante à une demi-rente d’invalidité. Le revenu sans invalidité en 2014, arrêté par l’intimé à CHF 18'396.- pour une activité de nettoyeuse à 40 %, n’est pas contesté par la recourante, de sorte qu’à 100 % il est de CHF 45'990.-.</w:t>
      </w:r>
    </w:p>
    <w:p>
      <w:r>
        <w:t>A/2401/2016 - 13/15 - S’agissant du revenu avec invalidité, l’intimé s’est fondé sur l’ESS 2012, Tableau TA1, femme, pour un horaire de travail de 41,7h, adapté à 2014, avec une déduction de 10 % et l’a arrêté à CHF 18'822.- pour un taux de travail de 40 %. A cet égard, il convient de constater que la déduction opérée ne tient pas suffisamment compte des limitations fonctionnelles importantes subies par la recourante, compte tenu du fait que l’intimé a pris en compte une activité simple et répétitive (niveau 1) ; en effet, le Dr D______ a relevé la présence de douleurs musculaires et articulaires avec faiblesse, fatigabilité musculaire, fatigabilité générale, difficultés aux tâches manuelles, difficultés de déplacements, diminution de la vitesse de travail et de la concentration, ainsi que des migraines sévères associées possiblement au lupus (avis du Dr D______ du 28 août 2015). Par ailleurs, l’enquêtrice a relevé des douleurs migrantes dans toutes les articulations, également créés par l’effort, avec gonflement, rougeur, douleurs lancinantes même sous antalgiques puissants ; couper, éplucher, tourner une cuillère dans une casserole, était difficile, voire impossible : les mouvements répétitifs étaient toujours à éviter, tout comme les travaux demandant de la force et l’élévation des bras ; la marche déclenchait de fortes douleurs aux pieds ; même écrire n’était pas toujours possible. En conséquence, les empêchements admis par l’enquêtrice pour les domaines du ménage requérant des aptitudes physiques sont importants (60 % pour l’alimentation, 60 % pour l’entretien du logement, 70 % pour les emplettes et courses diverses, et 60 % pour la lessive et l’entretien des vêtements). La chambre de céans constate que les plaintes de la recourante, retranscrites par l’enquêtrice ainsi que l’évaluation des empêchements n’ont pas été contestés par l’intimé. Au vu de ce qui précède, il se justifie de porter la déduction de 10 % à 15 %. En conséquence, le revenu d’invalide, pour une activité à 100 %, est finalement de CHF 44'440.- et de 22'220.- à 50 %. Le degré d’invalidité est ainsi de :</w:t>
      </w:r>
    </w:p>
    <w:p>
      <w:r>
        <w:t>= 52 %</w:t>
      </w:r>
    </w:p>
    <w:p>
      <w:r>
        <w:t>Partant, la recourante a droit à une demi-rente d’invalidité. La demande de prestations ayant été déposée le 7 avril 2015, le droit à la rente débute le 1er octobre 2015. Au surplus, la solution serait identique si, comme le prétend la recourante - cette question pouvant toutefois souffrir de rester ouverte - l’activité d’architecte d’intérieur devait être prise en compte pour calculer le revenu sans invalidité à 100 % et le revenu avec invalidité de 50 %, le degré d’invalidité étant, dans ce cas, de 50 %. CHF 45'990.- - CHF 22'220.- CHF 45'990.-</w:t>
      </w:r>
    </w:p>
    <w:p>
      <w:r>
        <w:t>A/2401/2016 - 14/15 -</w:t>
      </w:r>
    </w:p>
    <w:p>
      <w:r>
        <w:rPr>
          <w:b/>
        </w:rPr>
        <w:t>E. 18</w:t>
      </w:r>
    </w:p>
    <w:p>
      <w:r>
        <w:t>Au vu de ce qui précède, le recours sera admis et la décision du 13 juin 2016 sera annulée. Il sera dit que la recourante a droit à une demi-rente d’invalidité depuis le 1er octobre 2015.</w:t>
      </w:r>
    </w:p>
    <w:p>
      <w:r>
        <w:rPr>
          <w:b/>
        </w:rPr>
        <w:t>E. 19</w:t>
      </w:r>
    </w:p>
    <w:p>
      <w:r>
        <w:t>La recourante obtenant gain de cause, une indemnité de CHF 3'000.-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200.-.</w:t>
      </w:r>
    </w:p>
    <w:p>
      <w:r>
        <w:t>A/2401/2016 - 15/15 -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