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ATAS/1259/2021 vom 8. Dezember 2021</w:t>
      </w:r>
    </w:p>
    <w:p>
      <w:r>
        <w:t>GE Cour de justice, 2021-12-08, FR</w:t>
      </w:r>
    </w:p>
    <w:p>
      <w:r>
        <w:rPr>
          <w:b/>
        </w:rPr>
        <w:t xml:space="preserve">Quelle: </w:t>
      </w:r>
      <w:r>
        <w:t>https://mcp.opencaselaw.ch/entscheid/ge_gerichte_ATAS_1259_2021</w:t>
      </w:r>
    </w:p>
    <w:p>
      <w:r>
        <w:t>FR: GE_GERICHTE ATAS/1259/2021 du 8 décembre 2021</w:t>
      </w:r>
    </w:p>
    <w:p>
      <w:r>
        <w:t>IT: GE_GERICHTE ATAS/1259/2021 del 8 dicembre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w:t>
      </w:r>
    </w:p>
    <w:p>
      <w:r>
        <w:rPr>
          <w:b/>
        </w:rPr>
        <w:t>E. 4</w:t>
      </w:r>
    </w:p>
    <w:p>
      <w:r>
        <w:t>Le litige porte sur le droit de la recourante à une rente d'invalidité.</w:t>
      </w:r>
    </w:p>
    <w:p>
      <w:r>
        <w:rPr>
          <w:b/>
        </w:rPr>
        <w:t>E. 5</w:t>
      </w:r>
    </w:p>
    <w:p>
      <w:r>
        <w:t>Dans un moyen de nature formelle, qu'il convient d'examiner en premier lieu dès lors que son admission pourrait conduire à l'annulation de la décision attaquée sans examen du litige sur le fond (ATF 124 V 90 consid. 2), la recourante invoque une violation de son droit d’être entendue. Elle fait grief à l’intimé d’avoir rendu la décision litigieuse avant même d’avoir examiné ses arguments, la contraignant ainsi à recourir auprès de la chambre de céans. Elle a notamment rappelé que son courrier d’opposition du 12 mai 2021 avait été envoyé le jour même, soit dans le délai octroyé par l’intimé.</w:t>
      </w:r>
    </w:p>
    <w:p>
      <w:r>
        <w:rPr>
          <w:b/>
        </w:rPr>
        <w:t>E. 6</w:t>
      </w:r>
    </w:p>
    <w:p>
      <w:r>
        <w:t>a. À teneur de l’art. 42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En vertu de l'art. 57a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w:t>
      </w:r>
    </w:p>
    <w:p>
      <w:r>
        <w:t>A/1822/2021 - 5/13 -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 verbal sommaire qui est signé par l'assuré (al. 2). Par ailleurs, aux termes de l'art. 74 RAI, une fois l'instruction de la demande achevée, l'office AI se prononce sur la demande de prestations (al. 1). La motivation tient compte des observations qui ont été faites par les parties sur le préavis, pour autant qu'elles portent sur des points déterminants (al. 2). Conformément à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b.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lorsqu'il statue avant l'échéance du délai imparti à l'assuré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 Enfin, la circulaire sur la procédure dans l'assurance-invalidité (ch. 3013), dans sa teneur en vigueur depuis le 1er janvier 2018, stipule que le délai de 30 jours prévu par l'art. 73ter RAI peut être prolongé dans des cas dûment motivés. Si à l'expiration du délai de trente jours, mais avant que la décision ne soit rendue, l'assuré apporte de nouveaux éléments pouvant influencer la décision, ceux-ci doivent être pris en compte.</w:t>
      </w:r>
    </w:p>
    <w:p>
      <w:r>
        <w:rPr>
          <w:b/>
        </w:rPr>
        <w:t>E. 7</w:t>
      </w:r>
    </w:p>
    <w:p>
      <w:r>
        <w:t>a. En l'espèce, par courriel du 23 mars 2021, la recourante a formé opposition à l'encontre du projet de décision 26 février 2021 et sollicité la prolongation du délai pour faire valoir ses observations. L'intimé a dans un premier temps refusé, arguant que « l'art. 57a, al 3 » LAI ne permettait pas de prolonger le délai de préavis (cf. courriel du 23 mars 2021), avant</w:t>
      </w:r>
    </w:p>
    <w:p>
      <w:r>
        <w:t>A/1822/2021 - 6/13 - d'accepter cette demande et d'accorder une prolongation au 15 mai 2021 (cf. courriel du 24 mars 2021). Le dernier jour du délai étant un samedi, son terme a été reporté au lundi 17 mai 2021. Ainsi, le courrier du 12 mai 2021, par lequel la recourante a complété sa contestation, a bien été envoyé en temps utiles. En notifiant sa décision litigieuse le 17 mai 2021, l'intimé a donc violé le droit d'être entendu de l’intéressée, et l’a effectivement contrainte à saisir la chambre de céans, ce qu'il lui a d'ailleurs expressément prié de faire (cf. courrier du 17 mai 2021). b. Cette violation du droit d'être entendu peut cependant être considérée comme réparée, dès lors que la recourante a eu la possibilité de faire valoir toutes ses objections devant la chambre de céans, laquelle dispose d'un pouvoir d'examen identique à celui de l'intimé.</w:t>
      </w:r>
    </w:p>
    <w:p>
      <w:r>
        <w:rPr>
          <w:b/>
        </w:rPr>
        <w:t>E. 8</w:t>
      </w:r>
    </w:p>
    <w:p>
      <w:r>
        <w:t>Il convient à présent d'examiner le droit de la recourante à une rente, et plus particulièrement de se déterminer sur son statut.</w:t>
      </w:r>
    </w:p>
    <w:p>
      <w:r>
        <w:rPr>
          <w:b/>
        </w:rPr>
        <w:t>E. 9</w:t>
      </w:r>
    </w:p>
    <w:p>
      <w:r>
        <w:t>a. Conformément aux art. 8 al. 1 LPGA et 4 al. 1 LAI, est réputée invalidité, l'incapacité de gain totale ou partielle présumée permanente ou de longue durée, résultant d'une infirmité congénitale, d'une maladie ou d'un accident.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w:t>
      </w:r>
    </w:p>
    <w:p>
      <w:r>
        <w:t>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w:t>
      </w:r>
    </w:p>
    <w:p>
      <w:r>
        <w:t>A/1822/2021 - 7/13 - (art. 6 LPGA) d'au moins 40% en moyenne durant une année sans interruption notable (let. b) ; au terme de cette année, il est invalide (art. 8 LPGA) à 40% au moins (let. c). L'art. 28 al. 2 LAI dispose que l'assuré a droit à une rente entière s'il est invalide à 70 % au moins, à trois-quarts de rente s'il est invalide à 60% au moins, à une demi-rente s'il est invalide à 50 % au moins ou à un quart de rente s'il est invalide à 40 % au moins.</w:t>
      </w:r>
    </w:p>
    <w:p>
      <w:r>
        <w:rPr>
          <w:b/>
        </w:rPr>
        <w:t>E. 11</w:t>
      </w:r>
    </w:p>
    <w:p>
      <w:r>
        <w:t>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 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w:t>
      </w:r>
    </w:p>
    <w:p>
      <w:r>
        <w:rPr>
          <w:b/>
        </w:rPr>
        <w:t>E. 12</w:t>
      </w:r>
    </w:p>
    <w:p>
      <w:r>
        <w:t>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Il a déjà été jugé que la détermination d’un·e assuré·e pouvait être influencée par sa perception de ses problèmes de santé et de son aptitude à exercer une activité lucrative (arrêt du Tribunal fédéral 9C_260/2013 du 9 août 2013 consid. 3.2).</w:t>
      </w:r>
    </w:p>
    <w:p>
      <w:r>
        <w:t>En tant qu'il s'agit d'analyser une situation par nature hypothétique, le raisonnement retenu, s'il doit être basé sur des motifs objectifs, ne peut se référer</w:t>
      </w:r>
    </w:p>
    <w:p>
      <w:r>
        <w:t>A/1822/2021 - 8/13 - en définitive qu'à l'expérience générale de la vie (ATF 117 V 194 consid. 3b in fine).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juin 2017 (118 heures de cours) et du 19 septembre 2017 au 8 février 2018 (120 heures de cours). Elle s’est ensuite inscrite pour passer un test au mois de mai 2021. Ces démarches, débutées 9 mois après son troisième accouchement, démontrent une certaine volonté d’intégration, de participer à la vie sociale, malgré les atteintes à la santé. En outre, la recourante est encore très jeune et les époux n’ont aucune source de revenus hormis l’aide accordée par l’Hospice général. Si le mari de la recourante a acheté une voiture pour passer ses examens de chauffeur de taxi (cf. enquête ménagère), il n’a jusqu’à présent pas été en mesure d’exercer cette activité. d. En ce qui concerne la situation professionnelle de la recourante, la chambre de céans considère que l’absence de toute activité en Erythrée n’est pas déterminante. En effet, après avoir terminé l'école obligatoire en 2005, l'intéressée a été mariée en 2006, à l'âge de 16 ans, et a donné naissance à son premier enfant en 2008. Son mari a quitté leur pays d'origine en septembre 2008 et elle a donc dû élever leur enfant sans lui, avec l’aide de ses beaux-parents chez qui elle vivait depuis son</w:t>
      </w:r>
    </w:p>
    <w:p>
      <w:r>
        <w:t>A/1822/2021 - 10/13 - mariage. De plus, elle a exposé qu’elle n’avait pas eu le droit de travailler suite à la désertion de son époux. La véracité de ces allégations n'est pas remise en cause. L'intéressée a rejoint son époux à Genève en 2014 et le couple a eu deux autres enfants, les ______ 2014 et ______ 2015. Ces deux grossesses et accouchements, survenus dans un laps de temps très rapproché, permettent de justifier l'absence de toute activité professionnelle ou recherche d'emploi jusqu'à mi-avril 2016, compte tenu de la durée du congé maternité dans le canton de Genève. Pour la période subséquente, soit entre le printemps 2016 et l’automne 2019, l’absence de travail, de recherche d’emploi et d’inscription au chômage ne constitue pas un indice suffisant, en l’état actuel du dossier, pour établir l'absence de volonté de reprendre un travail. En effet, l’intéressée a suivi des cours de français durant cette période, mais surtout elle indique que sa détermination a été influencée par la perception qu'elle avait de ses problèmes de santé et de son aptitude à exercer une activité lucrative. Elle a ainsi expliqué que la situation s’était empirée progressivement depuis 2016 et que la douleur était devenue « insupportable » à partir de 2016-2017, après la naissance de son troisième enfant, raison pour laquelle elle n’avait pas pu travailler. e. En l’absence de tout rapport médical portant sur l’état de santé de la recourante durant cette période, il n’est pas possible de se déterminer sur ses allégations. C’est le lieu de relever que l’intimé a procédé à une instruction médicale très sommaire. Selon les pièces du dossier, la recourante souffre d’une ostéonécrose de la hanche de stade 4 suite à la maladie de Perthes, dont l’évolution est défavorable. Elle a bénéficié d'infiltrations de corticoïde et de séances de physiothérapie, sans amélioration (cf. rapports des Hôpitaux universitaires du canton de Genève [ci- après : les HUG] des 21 janvier et 19 août 2020). Depuis le mois de mai 2019, elle utilise des béquilles pour se déplacer (cf. demande de moyens auxiliaires du 11 juin 2020) et une arthroplastie totale de la hanche a été proposée à la patiente qui réfléchit pour l'heure à une telle intervention (cf. rapports des HUG des 4 février et</w:t>
      </w:r>
    </w:p>
    <w:p>
      <w:r>
        <w:rPr>
          <w:b/>
        </w:rPr>
        <w:t>E. 19</w:t>
      </w:r>
    </w:p>
    <w:p>
      <w:r>
        <w:t>août 2020). Les rapports transmis à l’intimé attestent d’une incapacité totale de travail (cf. rapports les HUG des 21 janvier et 19 août 2020). Le SMR a ainsi considéré que ladite incapacité était totale depuis « au moins » 2019. Cette appréciation est discutable et ne saurait être confirmée sur la base des pièces soumises à l’appréciation de la chambre de céans. En effet, il est relevé que la demande de prestations de la recourante fait état d’une atteinte à la santé existant « depuis la naissance ». La recourante a consulté des médecins dès son arrivée en Suisse en 2014. Une radiographie de la hanche gauche a été pratiquée le 28 novembre 2014 aux HUG en raison de douleurs avec une boiterie. Cet examen a révélé une ostéonécrose et une déformation de la tête fémorale gauche. On ignore le</w:t>
      </w:r>
    </w:p>
    <w:p>
      <w:r>
        <w:t>A/1822/2021 - 11/13 - degré de l’atteinte à cette époque et il est possible qu’elle fût alors déjà très importante puisque la recourante a déclaré lors de son audition que la mise en place d’une prothèse avait déjà été évoquée. En outre, lors de son audition, elle a signalé des difficultés à réaliser les tâches ménagères dès 2008, précisant par exemple qu’elle ne pouvait pas cuisiner seule et devait être aidée. Elle l’était également par ses beaux-parents pour s’occuper de son enfant et effectuer les tâches ménagères. Les rapports au dossier ne contiennent aucun renseignement sur les plaintes de la recourante, les traitements entrepris, les limitations fonctionnelles et l’évaluation de sa capacité de travail avant 2019. 16. Partant, la chambre de céans n’est pas en mesure de prendre position sur la situation globale de la recourante, au regard de l'expérience générale de la vie. 17. Il convient donc de renvoyer le dossier à l’intimé pour qu’il en complète l’instruction, en sollicitant notamment des rapports médicaux détaillés des médecins du programme « santé migrant » et des orthopédistes des HUG qui ont suivi la recourante depuis son arrivée en Suisse, afin de clarifier l’évolution de son état de santé et de sa capacité de travail. 18. Au vu de ce qui précède, le recours sera partiellement admis, la décision litigieuse annulée et la cause sera renvoyée à l’intimé pour instruction complémentaire et nouvelle décision. Pour le surplus, la recourante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A/1822/2021 - 12/13 -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