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ATAS/1259/2020 vom 21. Dezember 2020</w:t>
      </w:r>
    </w:p>
    <w:p>
      <w:r>
        <w:t>GE Cour de justice, 2020-12-21, FR</w:t>
      </w:r>
    </w:p>
    <w:p>
      <w:r>
        <w:rPr>
          <w:b/>
        </w:rPr>
        <w:t xml:space="preserve">Quelle: </w:t>
      </w:r>
      <w:r>
        <w:t>https://mcp.opencaselaw.ch/entscheid/ge_gerichte_ATAS_1259_2020</w:t>
      </w:r>
    </w:p>
    <w:p>
      <w:r>
        <w:t>FR: GE_GERICHTE ATAS/1259/2020 du 21 décembre 2020</w:t>
      </w:r>
    </w:p>
    <w:p>
      <w:r>
        <w:t>IT: GE_GERICHTE ATAS/1259/2020 del 21 dicembre 2020</w:t>
      </w:r>
    </w:p>
    <w:p>
      <w:pPr>
        <w:pStyle w:val="Heading2"/>
      </w:pPr>
      <w:r>
        <w:t>Erwägungen</w:t>
      </w:r>
    </w:p>
    <w:p>
      <w:r>
        <w:rPr>
          <w:b/>
        </w:rPr>
        <w:t>E. 10</w:t>
      </w:r>
    </w:p>
    <w:p>
      <w:r>
        <w:t>Par courrier du 1er avril 2020, l’assuré a interjeté recours contre la décision du 5 mars 2020. Il a invoqué que sa santé ne s’était pas améliorée depuis le dépôt de sa première demande, qu’il souffrait de diabète, de maux de tête, de troubles de sommeil, de mal de dos, d’obésité et d’état dépressif, et que dans ces conditions, il était impossible de trouver un emploi. Il se disait prêt à se soumettre à une expertise médicale. Il concluait en demandant un réexamen de son dossier et que l’on donne une suite positive à son recours.</w:t>
      </w:r>
    </w:p>
    <w:p>
      <w:r>
        <w:rPr>
          <w:b/>
        </w:rPr>
        <w:t>E. 11</w:t>
      </w:r>
    </w:p>
    <w:p>
      <w:r>
        <w:t>Par courrier du 15 avril 2020, l'OAI a répondu au recours, rappelant que la nouvelle demande ne pouvait être examinée que si l’assuré rendait plausible que son invalidité s'était modifiée de manière à influencer ses droits. L'intimé considérait que le recourant n’avait pas rendu plausible que les conditions de fait s’étaient modifiées de manière essentielle ; en effet, le SMR avait pris en compte toutes les pièces médicales produites par ce dernier et avait conclu dans son avis du 13 janvier 2020 que les éléments médicaux versés au dossier n’étaient pas de nature à modifier, à rendre plausible une modification notable et durable de l’état de santé de l’assuré depuis la dernière décision rendue par l’OAI.</w:t>
      </w:r>
    </w:p>
    <w:p>
      <w:r>
        <w:rPr>
          <w:b/>
        </w:rPr>
        <w:t>E. 12</w:t>
      </w:r>
    </w:p>
    <w:p>
      <w:r>
        <w:t>Par courrier du 24 juin 2020, le recourant a répliqué à la réponse de l’OAI et a dit comprendre que les documents justificatifs et radiographies qui avaient été transmis à cet office n’avaient pas permis à ce dernier de modifier son point de vue. Il ajoutait qu’il ne voulait pas répéter ici ses nombreux ennuis de santé qui étaient un réel obstacle pour trouver un employeur et a ajouté qu’il était découragé par cette décision négative et incompréhensible.</w:t>
      </w:r>
    </w:p>
    <w:p>
      <w:r>
        <w:rPr>
          <w:b/>
        </w:rPr>
        <w:t>E. 13</w:t>
      </w:r>
    </w:p>
    <w:p>
      <w:r>
        <w:t>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A/1113/2020 - 5/8 - (LPGA - RS 830.1) relatives à la loi fédérale sur l’assurance-invalidité du 19 juin 1959 (LAI - RS 831.20). Sa compétence pour juger du cas d’espèce est ainsi établie. 2. Interjeté dans la forme et le délai prévus par la loi, le recours est recevable (art. 56 ss LPGA et 62 ss LPA). 3. La question litigieuse consiste à déterminer si c’est à bon droit que l’intimé a refusé d’entrer en matière sur la demande de prestations du recourant. 4. a. Selon l'art. 87 al. 2 et 3 du règlement sur l'assurance-invalidité (RAI), dans sa teneur en vigueur dès le 1er janvier 2012,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La jurisprudence développée sous l'empire de l'art. 87 al. 3 et 4 RAI, en vigueur jusqu'au 31 décembre 2011, reste applicable à l'art. 87 al. 2 et 3 RAI modifié dès lors que la demande de révision doit répondre aux mêmes critères. b. Lorsque la rente a été refusée une première fois parce que le degré d'invalidité était insuffisant, la nouvelle demande ne peut être examinée que si l'assuré rend plausible que son invalidité s'est modifiée de manière à influencer ses droits (art. 87 al. 3 et 4 RAI dans leur teneur en vigueur jusqu'au 31 décembre 2011 ; ATF 109 V 262 consid. 3 p. 264 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p. 412,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w:t>
      </w:r>
    </w:p>
    <w:p>
      <w:r>
        <w:t>A/1113/2020 - 6/8 - l'administration est entrée en matière sur la nouvelle demande (ATF 109 V 108 consid. 2b p. 114). 5. Le principe inquisitoire, selon lequel les faits pertinents de la cause doivent être constatés d'office par l'autorité (cf. art. 43 al. 1 LPGA),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p. 68, arrêts 9C_708/2007 du 11 septembre 2008 consid. 2.3 et I 52/03 du</w:t>
      </w:r>
    </w:p>
    <w:p>
      <w:r>
        <w:rPr>
          <w:b/>
        </w:rPr>
        <w:t>E. 16</w:t>
      </w:r>
    </w:p>
    <w:p>
      <w:r>
        <w:t>janvier 2004 consid. 2.2 ; ATF 9C_789/2012 du 27 juillet 2013, consid. 2). Son examen se limite, ainsi, au point de savoir si les pièces déposées en procédure administrative justifient ou non la reprise de l'instruction du dossier (ATF 9C_789/2012 du 27 juillet 2013, consid. 4.1). 6. En l’espèce, l’assuré a déposé une nouvelle demande de prestations en date du 4 octobre 2019. Les pièces médicales qu’il a annexées à sa demande ne font pas état d’une pathologie particulière, si ce n’est des signes d’usure correspondant à l’âge de l’assuré, ainsi que des troubles minimes et débutants au niveau des talons. Le médecin du SMR a examiné l’ensemble des documents médicaux produits et en a tiré les conclusions qu’il n’y avait pas de plausibilité d’une aggravation de l’état de santé de l’assuré ce qui a entraîné un refus d’entrer en matière. Conformément à l’art. 87 al. 2 et 3 RAI et à la jurisprudence du Tribunal fédéral, la chambre de céans ne peut examiner la situation que d'après l'état de fait tel qu'il se présentait à l'administration au moment où celle-ci a statué. Au vu des pièces médicales produites par le recourant et de l’avis du SMR de l’intimé, la chambre de céans considère comme établi qu’il n’existe pas d’indice rendant plausible l’aggravation de l’état de santé du recourant depuis la dernière</w:t>
      </w:r>
    </w:p>
    <w:p>
      <w:r>
        <w:t>A/1113/2020 - 7/8 - décision rendue par l’intimé en 2017. La décision querellée de refus d’entrer en matière est donc justifiée. 7. Partant, la chambre de céans n’a d’autre choix que de rejeter le recours. 8. La procédure n'étant pas gratuite (art. 69 al. 1bis LAI), il y a lieu de condamner le recourant au paiement d'un émolument de CHF 200.-.</w:t>
      </w:r>
    </w:p>
    <w:p>
      <w:r>
        <w:t>A/1113/2020 - 8/8 -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