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ATAS/1259/2007 vom 13. November 2007</w:t>
      </w:r>
    </w:p>
    <w:p>
      <w:r>
        <w:t>GE Cour de justice, 2007-11-13, FR</w:t>
      </w:r>
    </w:p>
    <w:p>
      <w:r>
        <w:rPr>
          <w:b/>
        </w:rPr>
        <w:t xml:space="preserve">Quelle: </w:t>
      </w:r>
      <w:r>
        <w:t>https://mcp.opencaselaw.ch/entscheid/ge_gerichte_ATAS_1259_2007</w:t>
      </w:r>
    </w:p>
    <w:p>
      <w:r>
        <w:t>FR: GE_GERICHTE ATAS/1259/2007 du 13 novembre 2007</w:t>
      </w:r>
    </w:p>
    <w:p>
      <w:r>
        <w:t>IT: GE_GERICHTE ATAS/1259/2007 del 13 novembre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10 octobre 2006 et statuant sur un état de fait juridiquement déterminant remontant pour l'essentiel à l'année 2003, le présent litige sera examiné à la lumière des dispositions de la LPGA. Il convient quoi qu'il en soit de relever que ces dispositions n'ont pas modifié la notion d'invalidité selon l'ancienne LAI et la jurisprudence du TFA y relative est toujours d'actualité. Sa compétence pour juger du cas d’espèce est ainsi établie.</w:t>
      </w:r>
    </w:p>
    <w:p>
      <w:r>
        <w:t>A/4231/2006 - 7/15 -</w:t>
      </w:r>
    </w:p>
    <w:p>
      <w:r>
        <w:rPr>
          <w:b/>
        </w:rPr>
        <w:t>E. 4</w:t>
      </w:r>
    </w:p>
    <w:p>
      <w:r>
        <w:t>Déposé dans les forme et délai prévus par la loi, le présent recours est recevable (art. 60 LPGA).</w:t>
      </w:r>
    </w:p>
    <w:p>
      <w:r>
        <w:rPr>
          <w:b/>
        </w:rPr>
        <w:t>E. 5</w:t>
      </w:r>
    </w:p>
    <w:p>
      <w:r>
        <w:t>La loi fédérale du 16 décembre 2005 modifiant la LAI,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rPr>
          <w:b/>
        </w:rPr>
        <w:t>E. 6</w:t>
      </w:r>
    </w:p>
    <w:p>
      <w:r>
        <w:t>Le litige porte sur le droit de l'assurée à une rente d'invalidité.</w:t>
      </w:r>
    </w:p>
    <w:p>
      <w:r>
        <w:rPr>
          <w:b/>
        </w:rPr>
        <w:t>E. 7</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C'est le lieu de rappeler l'obligation pour l'assuré de diminuer le dommage, principe général du droit des assurances sociales (ATF 129 V 463 consid. 4.2, 123 V 233 consid. 3c, 117 V 278 consid. 2b, 400 et les références citées). Il en résulte que le</w:t>
      </w:r>
    </w:p>
    <w:p>
      <w:r>
        <w:t>A/4231/2006 - 8/15 -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9</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w:t>
      </w:r>
    </w:p>
    <w:p>
      <w:r>
        <w:t>A/4231/2006 - 9/15 -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rPr>
          <w:b/>
        </w:rPr>
        <w:t>E. 10</w:t>
      </w:r>
    </w:p>
    <w:p>
      <w:r>
        <w:t>En l'espèce, il n'est pas contesté que l'assurée ne peut plus exercer son travail de nettoyeuse. Son médecin traitant envisageait en revanche pour elle la possibilité d'une autre activité, pour autant qu'il y ait décharge absolue de la cheville gauche. Les maîtres d'atelier du COPAI, ainsi que le Dr B___________, ont estimé, dans leur rapport du 17 novembre 2004, sa capacité résiduelle de travail à 42,50% dans un emploi léger simple et pratique privilégiant la position assise, tout en maintenant la possibilité d'alterner les positions ou d'effectuer quelques pauses pour se détendre. Tant le Dr C___________ que le Dr D___________ l'ont considérée comme incapable de travailler à 100%, quelle que soit l'activité envisagée. Le Dr D___________ a relevé que sa patiente présentait une tristesse, une aboulie et des pleurs fréquents. Toute évocation de la perte de sa fille en 1988 déclenche immédiatement une importante crise de larmes. Il a ainsi retenu un état dépressif avec deuil pathologique depuis 1988.</w:t>
      </w:r>
    </w:p>
    <w:p>
      <w:r>
        <w:rPr>
          <w:b/>
        </w:rPr>
        <w:t>E. 11</w:t>
      </w:r>
    </w:p>
    <w:p>
      <w:r>
        <w:t>Dans un rapport établi le 29 avril 2005, la Dresse A___________ a ajouté que l'assurée souffrait depuis août 2004 d'une tendinite des rotateurs internes de l'épaule droite. Elle a également souligné, s'agissant de l'astragale, que le pronostic était sombre, au point qu'une prothèse totale de la cheville pourrait être envisagée.</w:t>
      </w:r>
    </w:p>
    <w:p>
      <w:r>
        <w:rPr>
          <w:b/>
        </w:rPr>
        <w:t>E. 12</w:t>
      </w:r>
    </w:p>
    <w:p>
      <w:r>
        <w:t>Force est de constater que l'état de santé s'est aggravé depuis août 2004, date à laquelle sont apparues des douleurs à l'épaule. Il y a cependant lieu d'observer que lorsque l'assurée a été examinée dans le cadre du COPAI en novembre 2004, elle était déjà gênée par son épaule, même si le diagnostic de tendinite n'avait pas encore été posé, de sorte que l'on peut considérer que les maîtres d'atelier en ont inévitablement tenu compte. Le Dr B___________ en fait du reste expressément état dans son rapport du 10 novembre 2004, puisqu'il relève que l'assurée souffre de l'épaule droite sur un conflit sous acromial et d'une épicondylite, lésions dont il</w:t>
      </w:r>
    </w:p>
    <w:p>
      <w:r>
        <w:t>A/4231/2006 - 10/15 - précise qu'elles sont sans doute favorisées par l'utilisation permanente d'une canne anglaise mal adaptée. S'agissant des troubles dépressifs, il convient de rappeler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w:t>
      </w:r>
    </w:p>
    <w:p>
      <w:r>
        <w:rPr>
          <w:b/>
        </w:rPr>
        <w:t>E. 13</w:t>
      </w:r>
    </w:p>
    <w:p>
      <w:r>
        <w:t>Il se justifie dès lors de confirmer le taux d'incapacité de travail retenu par le COPAI, lequel correspond aux conclusions de la Dresse A___________, soit 42,50% dans une activité adaptée.</w:t>
      </w:r>
    </w:p>
    <w:p>
      <w:r>
        <w:rPr>
          <w:b/>
        </w:rPr>
        <w:t>E. 14</w:t>
      </w:r>
    </w:p>
    <w:p>
      <w:r>
        <w:t>Reste à déterminer le degré d'invalidité.</w:t>
      </w:r>
    </w:p>
    <w:p>
      <w:r>
        <w:rPr>
          <w:b/>
        </w:rPr>
        <w:t>E. 15</w:t>
      </w:r>
    </w:p>
    <w:p>
      <w:r>
        <w:t>Selon l'art. 28 al. 1 LAI dans sa teneur en vigueur jusqu'au 31 décembre 2003,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A titre préalable, il faut examiner quelle méthode d'évaluation de l’invalidité il convient d'appliquer (art. 28 LAI, en corrélation avec les art. 27ss RAI). Le choix de la méthode d'évaluation de l'invalidité (méthode générale de comparaison des revenus, méthode mixte, méthode spécifique) dépend du statut du bénéficiaire potentiel de la rente : assuré exerçant une activité lucrative à temps complet, assuré exerçant une activité lucrative à temps partiel, assuré non actif.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Lorsque les assurés n'exercent une activité lucrative qu'à temps partiel ou apportent une collaboration non rémunérée à l'entreprise de leur conjoint, l'invalidité pour cette part est évaluée selon l'art. 16 LPGA. S'ils se consacrent en outre à leurs</w:t>
      </w:r>
    </w:p>
    <w:p>
      <w:r>
        <w:t>A/4231/2006 - 11/15 - travaux habituels, au sens de l'art. 8 al. 3 LPGA,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w:t>
      </w:r>
    </w:p>
    <w:p>
      <w:r>
        <w:rPr>
          <w:b/>
        </w:rPr>
        <w:t>E. 16</w:t>
      </w:r>
    </w:p>
    <w:p>
      <w:r>
        <w:t>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Le critère de la vraisemblance prépondérante, qui est généralement appliqué dans le domaine du droit de l'assurance sociale, vaut également pour l'appréciation des preuves en assurances sociales (ATF 111 V 372 consid 1b et 105 V 229 consid 3a). La notion de vraisemblance prépondérante signifie que l'existence d'un fait est plus vraisemblable que son absence (cf. ATF 111 V 374).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t>A/4231/2006 - 12/15 - Lorsqu’il y a lieu d’admettre pour les assurés qui exercent une activité lucrative à temps partiel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w:t>
      </w:r>
    </w:p>
    <w:p>
      <w:r>
        <w:rPr>
          <w:b/>
        </w:rPr>
        <w:t>E. 17</w:t>
      </w:r>
    </w:p>
    <w:p>
      <w:r>
        <w:t>En l’espèce, l’assurée a toujours travaillé à temps partiel et ne prétend pas qu'en bonne santé, elle aurait augmenté son temps de travail.</w:t>
      </w:r>
    </w:p>
    <w:p>
      <w:r>
        <w:rPr>
          <w:b/>
        </w:rPr>
        <w:t>E. 18</w:t>
      </w:r>
    </w:p>
    <w:p>
      <w:r>
        <w:t>L'OCAI a considéré que l'assurée aurait exercé, sans l'atteinte à la santé, une activité lucrative à 65%. Celle-ci cependant fait valoir qu'elle a également travaillé au service de Y___________ du 6 janvier 1998 au 31 août 2000, date à laquelle elle a donné son congé, ce sur recommandation du Dr F___________, car elle souffrait de douleurs lombaires et articulaires diverses ainsi que de son atteinte aux pieds. Elle réalisait dans cet emploi un salaire mensuel de 880 fr. Le Tribunal de céans relève à cet égard qu'elle a remplacé cette activité par celle exercée pour FD Architectes, à raison du même nombre d'heures. Il n'en sera dès lors pas tenu compte. C'est ainsi à juste titre que l'OCAI s'est fondé sur un revenu sans invalidité de 29'110 fr., soit 26'568 fr. (salaire Bon Génie actualisé 2002) + 2'541 fr.50 (salaire FD Architectes 2002).</w:t>
      </w:r>
    </w:p>
    <w:p>
      <w:r>
        <w:rPr>
          <w:b/>
        </w:rPr>
        <w:t>E. 19</w:t>
      </w:r>
    </w:p>
    <w:p>
      <w:r>
        <w:t>Le Tribunal de céans constate en revanche que selon les ESS 2002 - TA1 pour une femme dans une activité industrielle (15-37) de niveau 4, à un taux de 42,50%, et avec une réduction supplémentaire de 10%, le revenu d'invalide s'élèverait à 21'221 fr., et non à 27'216 fr. comme retenu par l'OCAI.</w:t>
      </w:r>
    </w:p>
    <w:p>
      <w:r>
        <w:rPr>
          <w:b/>
        </w:rPr>
        <w:t>E. 20</w:t>
      </w:r>
    </w:p>
    <w:p>
      <w:r>
        <w:t>S'agissant du taux d'abattement supplémentaire de 10% retenu par l'OCAI, il convient de rappeler que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w:t>
      </w:r>
    </w:p>
    <w:p>
      <w:r>
        <w:t>A/4231/2006 - 13/15 -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Tribunal de céans est d'avis qu'un 10% ne suffit pas à prendre en considération toutes les limitations présentées par l'assurée, qui portent à la fois sur la cheville d'une part et sur les épaules et le dos d'autre part. Il estime dès lors, au</w:t>
      </w:r>
    </w:p>
    <w:p>
      <w:r>
        <w:t>A/4231/2006 - 14/15 - vu de la jurisprudence, qu'un taux de 20% serait plus adéquat, ce qui donne un revenu d'invalide de 16'976 fr. 80. Le taux d'invalidité pour la part professionnelle est en conséquence de 41,70%.</w:t>
      </w:r>
    </w:p>
    <w:p>
      <w:r>
        <w:rPr>
          <w:b/>
        </w:rPr>
        <w:t>E. 21</w:t>
      </w:r>
    </w:p>
    <w:p>
      <w:r>
        <w:t>Le calcul du degré d'invalidité doit alors être établi sur la base des éléments suivants : 2 39,20% x 26) - (40</w:t>
      </w:r>
    </w:p>
    <w:p>
      <w:r>
        <w:t>41,70%) x</w:t>
      </w:r>
    </w:p>
    <w:p>
      <w:r>
        <w:rPr>
          <w:b/>
        </w:rPr>
        <w:t>E. 26</w:t>
      </w:r>
    </w:p>
    <w:p>
      <w:r>
        <w:t>( + = 40,85% Ce taux de 40,85% est suffisant pour justifier l'octroi d'un quart de rente. 22. Aussi le recours est-il admis partiellement.</w:t>
      </w:r>
    </w:p>
    <w:p>
      <w:r>
        <w:t>A/4231/2006 - 15/15 -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